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AD" w:rsidRDefault="00AD04AD" w:rsidP="00AD04A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</w:t>
      </w:r>
      <w:r w:rsidR="0091341C" w:rsidRPr="00EF0BB1">
        <w:rPr>
          <w:rFonts w:ascii="Cambria" w:hAnsi="Cambria"/>
          <w:b/>
          <w:bCs/>
          <w:sz w:val="24"/>
          <w:szCs w:val="24"/>
        </w:rPr>
        <w:t>lan d’action de coopération</w:t>
      </w:r>
      <w:r w:rsidR="00433FDD">
        <w:rPr>
          <w:rFonts w:ascii="Cambria" w:hAnsi="Cambria"/>
          <w:b/>
          <w:bCs/>
          <w:sz w:val="24"/>
          <w:szCs w:val="24"/>
        </w:rPr>
        <w:t xml:space="preserve"> </w:t>
      </w:r>
      <w:r w:rsidR="0091341C" w:rsidRPr="00EF0BB1">
        <w:rPr>
          <w:rFonts w:ascii="Cambria" w:hAnsi="Cambria"/>
          <w:b/>
          <w:bCs/>
          <w:sz w:val="24"/>
          <w:szCs w:val="24"/>
        </w:rPr>
        <w:t xml:space="preserve">DENF </w:t>
      </w:r>
      <w:r w:rsidR="00433FDD">
        <w:rPr>
          <w:rFonts w:ascii="Cambria" w:hAnsi="Cambria"/>
          <w:b/>
          <w:bCs/>
          <w:sz w:val="24"/>
          <w:szCs w:val="24"/>
        </w:rPr>
        <w:t>/</w:t>
      </w:r>
      <w:r w:rsidR="0091341C" w:rsidRPr="00EF0BB1">
        <w:rPr>
          <w:rFonts w:ascii="Cambria" w:hAnsi="Cambria"/>
          <w:b/>
          <w:bCs/>
          <w:sz w:val="24"/>
          <w:szCs w:val="24"/>
        </w:rPr>
        <w:t xml:space="preserve">UNCEF </w:t>
      </w:r>
    </w:p>
    <w:p w:rsidR="00551E8D" w:rsidRPr="00EF0BB1" w:rsidRDefault="0091341C" w:rsidP="00BD035E">
      <w:pPr>
        <w:jc w:val="center"/>
        <w:rPr>
          <w:rFonts w:ascii="Cambria" w:hAnsi="Cambria"/>
          <w:b/>
          <w:bCs/>
          <w:sz w:val="24"/>
          <w:szCs w:val="24"/>
        </w:rPr>
      </w:pPr>
      <w:r w:rsidRPr="00EF0BB1">
        <w:rPr>
          <w:rFonts w:ascii="Cambria" w:hAnsi="Cambria"/>
          <w:b/>
          <w:bCs/>
          <w:sz w:val="24"/>
          <w:szCs w:val="24"/>
        </w:rPr>
        <w:t>201</w:t>
      </w:r>
      <w:r w:rsidR="00BD035E">
        <w:rPr>
          <w:rFonts w:ascii="Cambria" w:hAnsi="Cambria"/>
          <w:b/>
          <w:bCs/>
          <w:sz w:val="24"/>
          <w:szCs w:val="24"/>
        </w:rPr>
        <w:t>3</w:t>
      </w:r>
      <w:r w:rsidR="00AD04AD">
        <w:rPr>
          <w:rFonts w:ascii="Cambria" w:hAnsi="Cambria"/>
          <w:b/>
          <w:bCs/>
          <w:sz w:val="24"/>
          <w:szCs w:val="24"/>
        </w:rPr>
        <w:t>-</w:t>
      </w:r>
      <w:r w:rsidRPr="00EF0BB1">
        <w:rPr>
          <w:rFonts w:ascii="Cambria" w:hAnsi="Cambria"/>
          <w:b/>
          <w:bCs/>
          <w:sz w:val="24"/>
          <w:szCs w:val="24"/>
        </w:rPr>
        <w:t xml:space="preserve"> 201</w:t>
      </w:r>
      <w:r w:rsidR="00BD035E">
        <w:rPr>
          <w:rFonts w:ascii="Cambria" w:hAnsi="Cambria"/>
          <w:b/>
          <w:bCs/>
          <w:sz w:val="24"/>
          <w:szCs w:val="24"/>
        </w:rPr>
        <w:t>4</w:t>
      </w:r>
    </w:p>
    <w:p w:rsidR="00F65D81" w:rsidRPr="00EF0BB1" w:rsidRDefault="00F65D81" w:rsidP="00D26E6E">
      <w:pPr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EF0BB1">
        <w:rPr>
          <w:rFonts w:ascii="Cambria" w:hAnsi="Cambria"/>
          <w:b/>
          <w:bCs/>
          <w:sz w:val="24"/>
          <w:szCs w:val="24"/>
        </w:rPr>
        <w:t>Contexte</w:t>
      </w:r>
      <w:r w:rsidR="00C1404F">
        <w:rPr>
          <w:rFonts w:ascii="Cambria" w:hAnsi="Cambria"/>
          <w:b/>
          <w:bCs/>
          <w:sz w:val="24"/>
          <w:szCs w:val="24"/>
        </w:rPr>
        <w:t xml:space="preserve"> de la coopération</w:t>
      </w:r>
    </w:p>
    <w:p w:rsidR="002A7F59" w:rsidRDefault="007A19C5" w:rsidP="0090620D">
      <w:pPr>
        <w:spacing w:after="120"/>
        <w:jc w:val="both"/>
        <w:rPr>
          <w:rFonts w:ascii="Cambria" w:hAnsi="Cambria"/>
          <w:sz w:val="24"/>
          <w:szCs w:val="24"/>
        </w:rPr>
      </w:pPr>
      <w:r w:rsidRPr="0038290D">
        <w:rPr>
          <w:rFonts w:ascii="Cambria" w:hAnsi="Cambria"/>
          <w:sz w:val="24"/>
          <w:szCs w:val="24"/>
        </w:rPr>
        <w:t>Dans le domaine de l’éducation</w:t>
      </w:r>
      <w:r>
        <w:rPr>
          <w:rFonts w:ascii="Cambria" w:hAnsi="Cambria"/>
          <w:sz w:val="24"/>
          <w:szCs w:val="24"/>
        </w:rPr>
        <w:t xml:space="preserve">, le Maroc a </w:t>
      </w:r>
      <w:r w:rsidR="00B86219">
        <w:rPr>
          <w:rFonts w:ascii="Cambria" w:hAnsi="Cambria"/>
          <w:sz w:val="24"/>
          <w:szCs w:val="24"/>
        </w:rPr>
        <w:t>fourni</w:t>
      </w:r>
      <w:r w:rsidRPr="0038290D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 xml:space="preserve">e grands efforts pour garantir </w:t>
      </w:r>
      <w:r w:rsidR="004D2F2A">
        <w:rPr>
          <w:rFonts w:ascii="Cambria" w:hAnsi="Cambria"/>
          <w:sz w:val="24"/>
          <w:szCs w:val="24"/>
        </w:rPr>
        <w:t>aux</w:t>
      </w:r>
      <w:r w:rsidR="00B86219">
        <w:rPr>
          <w:rFonts w:ascii="Cambria" w:hAnsi="Cambria"/>
          <w:sz w:val="24"/>
          <w:szCs w:val="24"/>
        </w:rPr>
        <w:t xml:space="preserve"> </w:t>
      </w:r>
      <w:r w:rsidRPr="0038290D">
        <w:rPr>
          <w:rFonts w:ascii="Cambria" w:hAnsi="Cambria"/>
          <w:sz w:val="24"/>
          <w:szCs w:val="24"/>
        </w:rPr>
        <w:t>enfants un accès générali</w:t>
      </w:r>
      <w:r>
        <w:rPr>
          <w:rFonts w:ascii="Cambria" w:hAnsi="Cambria"/>
          <w:sz w:val="24"/>
          <w:szCs w:val="24"/>
        </w:rPr>
        <w:t>sé et équitable à une éducation</w:t>
      </w:r>
      <w:r w:rsidRPr="0038290D">
        <w:rPr>
          <w:rFonts w:ascii="Cambria" w:hAnsi="Cambria"/>
          <w:sz w:val="24"/>
          <w:szCs w:val="24"/>
        </w:rPr>
        <w:t xml:space="preserve"> de qualité. Ainsi</w:t>
      </w:r>
      <w:r w:rsidR="00AD1DD9">
        <w:rPr>
          <w:rFonts w:ascii="Cambria" w:hAnsi="Cambria"/>
          <w:sz w:val="24"/>
          <w:szCs w:val="24"/>
        </w:rPr>
        <w:t>, d</w:t>
      </w:r>
      <w:r w:rsidR="00AD1DD9" w:rsidRPr="0038290D">
        <w:rPr>
          <w:rFonts w:ascii="Cambria" w:hAnsi="Cambria"/>
          <w:sz w:val="24"/>
          <w:szCs w:val="24"/>
        </w:rPr>
        <w:t xml:space="preserve">e grands </w:t>
      </w:r>
      <w:r w:rsidRPr="0038290D">
        <w:rPr>
          <w:rFonts w:ascii="Cambria" w:hAnsi="Cambria"/>
          <w:sz w:val="24"/>
          <w:szCs w:val="24"/>
        </w:rPr>
        <w:t xml:space="preserve">chantiers ont été </w:t>
      </w:r>
      <w:r w:rsidR="00AD1DD9">
        <w:rPr>
          <w:rFonts w:ascii="Cambria" w:hAnsi="Cambria"/>
          <w:sz w:val="24"/>
          <w:szCs w:val="24"/>
        </w:rPr>
        <w:t xml:space="preserve">lancés </w:t>
      </w:r>
      <w:r w:rsidRPr="0038290D">
        <w:rPr>
          <w:rFonts w:ascii="Cambria" w:hAnsi="Cambria"/>
          <w:sz w:val="24"/>
          <w:szCs w:val="24"/>
        </w:rPr>
        <w:t xml:space="preserve">par le </w:t>
      </w:r>
      <w:r w:rsidR="00B84867">
        <w:rPr>
          <w:rFonts w:ascii="Cambria" w:hAnsi="Cambria"/>
          <w:sz w:val="24"/>
          <w:szCs w:val="24"/>
        </w:rPr>
        <w:t>ministère à</w:t>
      </w:r>
      <w:r w:rsidRPr="0038290D">
        <w:rPr>
          <w:rFonts w:ascii="Cambria" w:hAnsi="Cambria"/>
          <w:sz w:val="24"/>
          <w:szCs w:val="24"/>
        </w:rPr>
        <w:t xml:space="preserve"> travers la mise en œuvre de la charte nationale d’éducation et de formation (2000-2009) et du programme d’urgence (2009-2012).</w:t>
      </w:r>
      <w:r w:rsidR="002A7F59">
        <w:rPr>
          <w:rFonts w:ascii="Cambria" w:hAnsi="Cambria"/>
          <w:sz w:val="24"/>
          <w:szCs w:val="24"/>
        </w:rPr>
        <w:t xml:space="preserve"> Ce qui a permis en particulier l’</w:t>
      </w:r>
      <w:r w:rsidRPr="0038290D">
        <w:rPr>
          <w:rFonts w:ascii="Cambria" w:hAnsi="Cambria"/>
          <w:sz w:val="24"/>
          <w:szCs w:val="24"/>
        </w:rPr>
        <w:t>augmentation des taux de scolarisation</w:t>
      </w:r>
      <w:r w:rsidR="002A7F59">
        <w:rPr>
          <w:rFonts w:ascii="Cambria" w:hAnsi="Cambria"/>
          <w:sz w:val="24"/>
          <w:szCs w:val="24"/>
        </w:rPr>
        <w:t> : l</w:t>
      </w:r>
      <w:r w:rsidR="002A7F59" w:rsidRPr="00A13A49">
        <w:rPr>
          <w:rFonts w:ascii="Cambria" w:hAnsi="Cambria"/>
          <w:sz w:val="24"/>
          <w:szCs w:val="24"/>
        </w:rPr>
        <w:t xml:space="preserve">a généralisation de la scolarisation au primaire </w:t>
      </w:r>
      <w:r w:rsidR="000F0974">
        <w:rPr>
          <w:rFonts w:ascii="Cambria" w:hAnsi="Cambria"/>
          <w:sz w:val="24"/>
          <w:szCs w:val="24"/>
        </w:rPr>
        <w:t xml:space="preserve">avec un taux qui dépasse les </w:t>
      </w:r>
      <w:r w:rsidR="002A7F59" w:rsidRPr="00A13A49">
        <w:rPr>
          <w:rFonts w:ascii="Cambria" w:hAnsi="Cambria"/>
          <w:sz w:val="24"/>
          <w:szCs w:val="24"/>
        </w:rPr>
        <w:t>97</w:t>
      </w:r>
      <w:r w:rsidR="002A7F59">
        <w:rPr>
          <w:rFonts w:ascii="Cambria" w:hAnsi="Cambria"/>
          <w:sz w:val="24"/>
          <w:szCs w:val="24"/>
        </w:rPr>
        <w:t>,5%.</w:t>
      </w:r>
    </w:p>
    <w:p w:rsidR="007A19C5" w:rsidRDefault="00394CE0" w:rsidP="009062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Certes le</w:t>
      </w:r>
      <w:r w:rsidR="0090620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résultat</w:t>
      </w:r>
      <w:r w:rsidR="0090620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s</w:t>
      </w:r>
      <w:r w:rsidR="0090620D" w:rsidRPr="0038290D"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>t positif</w:t>
      </w:r>
      <w:r w:rsidR="0090620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, mais </w:t>
      </w:r>
      <w:r w:rsidR="007A19C5" w:rsidRPr="00A13A49">
        <w:rPr>
          <w:rFonts w:ascii="Cambria" w:hAnsi="Cambria"/>
          <w:sz w:val="24"/>
          <w:szCs w:val="24"/>
        </w:rPr>
        <w:t xml:space="preserve">le système éducatif marocain reste confronté aux difficultés de la consolidation de </w:t>
      </w:r>
      <w:r>
        <w:rPr>
          <w:rFonts w:ascii="Cambria" w:hAnsi="Cambria"/>
          <w:sz w:val="24"/>
          <w:szCs w:val="24"/>
        </w:rPr>
        <w:t>ces acquis : soutenir</w:t>
      </w:r>
      <w:r w:rsidRPr="00A13A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et maintenir la généralisation </w:t>
      </w:r>
      <w:r w:rsidR="004D2F2A">
        <w:rPr>
          <w:rFonts w:ascii="Cambria" w:hAnsi="Cambria"/>
          <w:sz w:val="24"/>
          <w:szCs w:val="24"/>
        </w:rPr>
        <w:t xml:space="preserve">de </w:t>
      </w:r>
      <w:r w:rsidR="007A19C5" w:rsidRPr="00A13A49">
        <w:rPr>
          <w:rFonts w:ascii="Cambria" w:hAnsi="Cambria"/>
          <w:sz w:val="24"/>
          <w:szCs w:val="24"/>
        </w:rPr>
        <w:t>l’accès,</w:t>
      </w:r>
      <w:r>
        <w:rPr>
          <w:rFonts w:ascii="Cambria" w:hAnsi="Cambria"/>
          <w:sz w:val="24"/>
          <w:szCs w:val="24"/>
        </w:rPr>
        <w:t xml:space="preserve"> améliorer</w:t>
      </w:r>
      <w:r w:rsidR="007A19C5" w:rsidRPr="00A13A49">
        <w:rPr>
          <w:rFonts w:ascii="Cambria" w:hAnsi="Cambria"/>
          <w:sz w:val="24"/>
          <w:szCs w:val="24"/>
        </w:rPr>
        <w:t xml:space="preserve"> l’efficacité interne du système et la qualité des apprentissages</w:t>
      </w:r>
      <w:r>
        <w:rPr>
          <w:rFonts w:ascii="Cambria" w:hAnsi="Cambria"/>
          <w:sz w:val="24"/>
          <w:szCs w:val="24"/>
        </w:rPr>
        <w:t>,</w:t>
      </w:r>
      <w:r w:rsidR="007A19C5" w:rsidRPr="00A13A49">
        <w:rPr>
          <w:rFonts w:ascii="Cambria" w:hAnsi="Cambria"/>
          <w:sz w:val="24"/>
          <w:szCs w:val="24"/>
        </w:rPr>
        <w:t xml:space="preserve"> en particulier en milieu rural pauvre et enclavé. En effet,</w:t>
      </w:r>
      <w:r w:rsidR="00C1404F">
        <w:rPr>
          <w:rFonts w:ascii="Cambria" w:hAnsi="Cambria"/>
          <w:sz w:val="24"/>
          <w:szCs w:val="24"/>
        </w:rPr>
        <w:t xml:space="preserve"> 2,5</w:t>
      </w:r>
      <w:r w:rsidR="007A19C5">
        <w:rPr>
          <w:rFonts w:ascii="Cambria" w:hAnsi="Cambria"/>
          <w:sz w:val="24"/>
          <w:szCs w:val="24"/>
        </w:rPr>
        <w:t xml:space="preserve">% </w:t>
      </w:r>
      <w:r w:rsidR="00AD1DD9">
        <w:rPr>
          <w:rFonts w:ascii="Cambria" w:hAnsi="Cambria"/>
          <w:sz w:val="24"/>
          <w:szCs w:val="24"/>
        </w:rPr>
        <w:t xml:space="preserve">des enfants en âge de scolarité obligatoire </w:t>
      </w:r>
      <w:r w:rsidR="00C1404F">
        <w:rPr>
          <w:rFonts w:ascii="Cambria" w:hAnsi="Cambria"/>
          <w:sz w:val="24"/>
          <w:szCs w:val="24"/>
        </w:rPr>
        <w:t>n'ont pas accès à</w:t>
      </w:r>
      <w:r w:rsidR="007A19C5" w:rsidRPr="00A13A49">
        <w:rPr>
          <w:rFonts w:ascii="Cambria" w:hAnsi="Cambria"/>
          <w:sz w:val="24"/>
          <w:szCs w:val="24"/>
        </w:rPr>
        <w:t xml:space="preserve"> l’école</w:t>
      </w:r>
      <w:r w:rsidR="007A19C5">
        <w:rPr>
          <w:rFonts w:ascii="Cambria" w:hAnsi="Cambria"/>
          <w:sz w:val="24"/>
          <w:szCs w:val="24"/>
        </w:rPr>
        <w:t>.</w:t>
      </w:r>
      <w:r w:rsidR="00C1404F">
        <w:rPr>
          <w:rFonts w:ascii="Cambria" w:hAnsi="Cambria"/>
          <w:sz w:val="24"/>
          <w:szCs w:val="24"/>
        </w:rPr>
        <w:t xml:space="preserve"> De plus, 940 000 enfants sont non scolarisés (CSE, 2009).</w:t>
      </w:r>
    </w:p>
    <w:p w:rsidR="007A19C5" w:rsidRPr="007A19C5" w:rsidRDefault="00AD1DD9" w:rsidP="002A7F5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programme de l’ENF vient en tant que 2</w:t>
      </w:r>
      <w:r w:rsidRPr="00AD1DD9">
        <w:rPr>
          <w:rFonts w:ascii="Cambria" w:hAnsi="Cambria"/>
          <w:sz w:val="24"/>
          <w:szCs w:val="24"/>
          <w:vertAlign w:val="superscript"/>
        </w:rPr>
        <w:t>ème</w:t>
      </w:r>
      <w:r>
        <w:rPr>
          <w:rFonts w:ascii="Cambria" w:hAnsi="Cambria"/>
          <w:sz w:val="24"/>
          <w:szCs w:val="24"/>
        </w:rPr>
        <w:t xml:space="preserve"> chance d’éducation </w:t>
      </w:r>
      <w:r w:rsidRPr="007A19C5">
        <w:rPr>
          <w:rFonts w:ascii="Cambria" w:hAnsi="Cambria"/>
          <w:sz w:val="24"/>
          <w:szCs w:val="24"/>
        </w:rPr>
        <w:t xml:space="preserve">et de formation </w:t>
      </w:r>
      <w:r>
        <w:rPr>
          <w:rFonts w:ascii="Cambria" w:hAnsi="Cambria"/>
          <w:sz w:val="24"/>
          <w:szCs w:val="24"/>
        </w:rPr>
        <w:t xml:space="preserve">complémentaire à l'école formelle pour faire face à </w:t>
      </w:r>
      <w:r w:rsidR="002A7F59">
        <w:rPr>
          <w:rFonts w:ascii="Cambria" w:hAnsi="Cambria"/>
          <w:sz w:val="24"/>
          <w:szCs w:val="24"/>
        </w:rPr>
        <w:t>la</w:t>
      </w:r>
      <w:r>
        <w:rPr>
          <w:rFonts w:ascii="Cambria" w:hAnsi="Cambria"/>
          <w:sz w:val="24"/>
          <w:szCs w:val="24"/>
        </w:rPr>
        <w:t xml:space="preserve"> problématique </w:t>
      </w:r>
      <w:proofErr w:type="gramStart"/>
      <w:r>
        <w:rPr>
          <w:rFonts w:ascii="Cambria" w:hAnsi="Cambria"/>
          <w:sz w:val="24"/>
          <w:szCs w:val="24"/>
        </w:rPr>
        <w:t>de la</w:t>
      </w:r>
      <w:proofErr w:type="gramEnd"/>
      <w:r>
        <w:rPr>
          <w:rFonts w:ascii="Cambria" w:hAnsi="Cambria"/>
          <w:sz w:val="24"/>
          <w:szCs w:val="24"/>
        </w:rPr>
        <w:t xml:space="preserve"> non déscolarisation et de la scolarisation</w:t>
      </w:r>
      <w:r w:rsidR="007A19C5" w:rsidRPr="007A19C5">
        <w:rPr>
          <w:rFonts w:ascii="Cambria" w:hAnsi="Cambria"/>
          <w:sz w:val="24"/>
          <w:szCs w:val="24"/>
        </w:rPr>
        <w:t>.</w:t>
      </w:r>
    </w:p>
    <w:p w:rsidR="008C44CE" w:rsidRPr="00EF0BB1" w:rsidRDefault="006E6F55" w:rsidP="004D2F2A">
      <w:pPr>
        <w:jc w:val="both"/>
        <w:rPr>
          <w:rFonts w:ascii="Cambria" w:hAnsi="Cambria"/>
          <w:sz w:val="24"/>
          <w:szCs w:val="24"/>
        </w:rPr>
      </w:pPr>
      <w:r w:rsidRPr="00EF0BB1">
        <w:rPr>
          <w:rFonts w:ascii="Cambria" w:hAnsi="Cambria"/>
          <w:sz w:val="24"/>
          <w:szCs w:val="24"/>
        </w:rPr>
        <w:t>Dès le lancement du programme de l’ENF en 1997, l’U</w:t>
      </w:r>
      <w:r w:rsidR="00C1404F">
        <w:rPr>
          <w:rFonts w:ascii="Cambria" w:hAnsi="Cambria"/>
          <w:sz w:val="24"/>
          <w:szCs w:val="24"/>
        </w:rPr>
        <w:t>NICEF s’est engagé</w:t>
      </w:r>
      <w:r w:rsidR="004D2F2A">
        <w:rPr>
          <w:rFonts w:ascii="Cambria" w:hAnsi="Cambria"/>
          <w:sz w:val="24"/>
          <w:szCs w:val="24"/>
        </w:rPr>
        <w:t>e</w:t>
      </w:r>
      <w:r w:rsidR="00C1404F">
        <w:rPr>
          <w:rFonts w:ascii="Cambria" w:hAnsi="Cambria"/>
          <w:sz w:val="24"/>
          <w:szCs w:val="24"/>
        </w:rPr>
        <w:t xml:space="preserve"> pour accompagner l</w:t>
      </w:r>
      <w:r w:rsidRPr="00EF0BB1">
        <w:rPr>
          <w:rFonts w:ascii="Cambria" w:hAnsi="Cambria"/>
          <w:sz w:val="24"/>
          <w:szCs w:val="24"/>
        </w:rPr>
        <w:t>a mise en place</w:t>
      </w:r>
      <w:r w:rsidR="00C1404F">
        <w:rPr>
          <w:rFonts w:ascii="Cambria" w:hAnsi="Cambria"/>
          <w:sz w:val="24"/>
          <w:szCs w:val="24"/>
        </w:rPr>
        <w:t xml:space="preserve"> dudit programme</w:t>
      </w:r>
      <w:r w:rsidRPr="00EF0BB1">
        <w:rPr>
          <w:rFonts w:ascii="Cambria" w:hAnsi="Cambria"/>
          <w:sz w:val="24"/>
          <w:szCs w:val="24"/>
        </w:rPr>
        <w:t>. Plusieurs action</w:t>
      </w:r>
      <w:r w:rsidR="007A19C5">
        <w:rPr>
          <w:rFonts w:ascii="Cambria" w:hAnsi="Cambria"/>
          <w:sz w:val="24"/>
          <w:szCs w:val="24"/>
        </w:rPr>
        <w:t>s</w:t>
      </w:r>
      <w:r w:rsidRPr="00EF0BB1">
        <w:rPr>
          <w:rFonts w:ascii="Cambria" w:hAnsi="Cambria"/>
          <w:sz w:val="24"/>
          <w:szCs w:val="24"/>
        </w:rPr>
        <w:t xml:space="preserve"> de première </w:t>
      </w:r>
      <w:r w:rsidR="009A3350" w:rsidRPr="00EF0BB1">
        <w:rPr>
          <w:rFonts w:ascii="Cambria" w:hAnsi="Cambria"/>
          <w:sz w:val="24"/>
          <w:szCs w:val="24"/>
        </w:rPr>
        <w:t>importance</w:t>
      </w:r>
      <w:r w:rsidRPr="00EF0BB1">
        <w:rPr>
          <w:rFonts w:ascii="Cambria" w:hAnsi="Cambria"/>
          <w:sz w:val="24"/>
          <w:szCs w:val="24"/>
        </w:rPr>
        <w:t xml:space="preserve"> ont été réalisées depuis</w:t>
      </w:r>
      <w:r w:rsidR="008C44CE" w:rsidRPr="00EF0BB1">
        <w:rPr>
          <w:rFonts w:ascii="Cambria" w:hAnsi="Cambria"/>
          <w:sz w:val="24"/>
          <w:szCs w:val="24"/>
        </w:rPr>
        <w:t> :</w:t>
      </w:r>
    </w:p>
    <w:p w:rsidR="008C44CE" w:rsidRPr="004E441B" w:rsidRDefault="007A19C5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4E441B">
        <w:rPr>
          <w:rFonts w:ascii="Cambria" w:hAnsi="Cambria"/>
        </w:rPr>
        <w:t>E</w:t>
      </w:r>
      <w:r w:rsidR="008C44CE" w:rsidRPr="004E441B">
        <w:rPr>
          <w:rFonts w:ascii="Cambria" w:hAnsi="Cambria"/>
        </w:rPr>
        <w:t>tude pour l’analyse de la situ</w:t>
      </w:r>
      <w:r w:rsidRPr="004E441B">
        <w:rPr>
          <w:rFonts w:ascii="Cambria" w:hAnsi="Cambria"/>
        </w:rPr>
        <w:t>ation de la non scolarisation «</w:t>
      </w:r>
      <w:r w:rsidR="008C44CE" w:rsidRPr="004E441B">
        <w:rPr>
          <w:rFonts w:ascii="Cambria" w:hAnsi="Cambria"/>
        </w:rPr>
        <w:t>d’une catégorisation à une typol</w:t>
      </w:r>
      <w:r w:rsidRPr="004E441B">
        <w:rPr>
          <w:rFonts w:ascii="Cambria" w:hAnsi="Cambria"/>
        </w:rPr>
        <w:t>ogie des enfants non scolarisés</w:t>
      </w:r>
      <w:r w:rsidR="008C44CE" w:rsidRPr="004E441B">
        <w:rPr>
          <w:rFonts w:ascii="Cambria" w:hAnsi="Cambria"/>
        </w:rPr>
        <w:t>» a été réalisée en 1998</w:t>
      </w:r>
      <w:r w:rsidRPr="004E441B">
        <w:rPr>
          <w:rFonts w:ascii="Cambria" w:hAnsi="Cambria"/>
        </w:rPr>
        <w:t> ;</w:t>
      </w:r>
    </w:p>
    <w:p w:rsidR="00347A29" w:rsidRPr="002C2348" w:rsidRDefault="007A19C5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2C2348">
        <w:rPr>
          <w:rFonts w:ascii="Cambria" w:hAnsi="Cambria"/>
        </w:rPr>
        <w:t>C</w:t>
      </w:r>
      <w:r w:rsidR="005004F5" w:rsidRPr="002C2348">
        <w:rPr>
          <w:rFonts w:ascii="Cambria" w:hAnsi="Cambria"/>
        </w:rPr>
        <w:t>urricula</w:t>
      </w:r>
      <w:r w:rsidR="008C44CE" w:rsidRPr="002C2348">
        <w:rPr>
          <w:rFonts w:ascii="Cambria" w:hAnsi="Cambria"/>
        </w:rPr>
        <w:t xml:space="preserve"> pour les enfants de l’</w:t>
      </w:r>
      <w:r w:rsidRPr="002C2348">
        <w:rPr>
          <w:rFonts w:ascii="Cambria" w:hAnsi="Cambria"/>
        </w:rPr>
        <w:t>artisanat en 2000 ;</w:t>
      </w:r>
    </w:p>
    <w:p w:rsidR="0054333E" w:rsidRPr="004E441B" w:rsidRDefault="0054333E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  <w:sz w:val="24"/>
          <w:szCs w:val="24"/>
        </w:rPr>
      </w:pPr>
      <w:r w:rsidRPr="002C2348">
        <w:rPr>
          <w:rFonts w:ascii="Cambria" w:hAnsi="Cambria"/>
        </w:rPr>
        <w:t>séminaires</w:t>
      </w:r>
      <w:r w:rsidRPr="004E441B">
        <w:rPr>
          <w:rFonts w:ascii="Cambria" w:hAnsi="Cambria"/>
          <w:b/>
          <w:bCs/>
          <w:sz w:val="24"/>
          <w:szCs w:val="24"/>
        </w:rPr>
        <w:t xml:space="preserve"> </w:t>
      </w:r>
      <w:r w:rsidRPr="002C2348">
        <w:rPr>
          <w:rFonts w:ascii="Cambria" w:hAnsi="Cambria"/>
        </w:rPr>
        <w:t>nationaux</w:t>
      </w:r>
      <w:r w:rsidR="007A19C5" w:rsidRPr="004E441B">
        <w:rPr>
          <w:rFonts w:ascii="Cambria" w:hAnsi="Cambria"/>
          <w:sz w:val="24"/>
          <w:szCs w:val="24"/>
        </w:rPr>
        <w:t> ;</w:t>
      </w:r>
    </w:p>
    <w:p w:rsidR="00E254AA" w:rsidRPr="004E441B" w:rsidRDefault="007A19C5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4E441B">
        <w:rPr>
          <w:rFonts w:ascii="Cambria" w:hAnsi="Cambria"/>
        </w:rPr>
        <w:t>Etude sur «</w:t>
      </w:r>
      <w:r w:rsidR="00E254AA" w:rsidRPr="004E441B">
        <w:rPr>
          <w:rFonts w:ascii="Cambria" w:hAnsi="Cambria"/>
        </w:rPr>
        <w:t>La non scolarisation au Maroc : une analyse en termes de coût et d’opportunité</w:t>
      </w:r>
      <w:r w:rsidR="0054333E" w:rsidRPr="004E441B">
        <w:rPr>
          <w:rFonts w:ascii="Cambria" w:hAnsi="Cambria"/>
        </w:rPr>
        <w:t>»</w:t>
      </w:r>
      <w:r w:rsidRPr="004E441B">
        <w:rPr>
          <w:rFonts w:ascii="Cambria" w:hAnsi="Cambria"/>
        </w:rPr>
        <w:t> ;</w:t>
      </w:r>
    </w:p>
    <w:p w:rsidR="00C51D17" w:rsidRPr="004E441B" w:rsidRDefault="007A19C5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  <w:color w:val="000000"/>
        </w:rPr>
      </w:pPr>
      <w:r w:rsidRPr="004E441B">
        <w:rPr>
          <w:rFonts w:ascii="Cambria" w:hAnsi="Cambria"/>
        </w:rPr>
        <w:t>R</w:t>
      </w:r>
      <w:r w:rsidR="008C44CE" w:rsidRPr="004E441B">
        <w:rPr>
          <w:rFonts w:ascii="Cambria" w:hAnsi="Cambria"/>
        </w:rPr>
        <w:t>evue et analyse des documents et études existants sur l’ENF</w:t>
      </w:r>
      <w:r w:rsidR="00E254AA" w:rsidRPr="004E441B">
        <w:rPr>
          <w:rFonts w:ascii="Cambria" w:hAnsi="Cambria"/>
        </w:rPr>
        <w:t xml:space="preserve"> pour répertorier les études/recherches/documents existants sur l’éducation non formelle et sur la phénomène </w:t>
      </w:r>
      <w:proofErr w:type="gramStart"/>
      <w:r w:rsidR="00E254AA" w:rsidRPr="004E441B">
        <w:rPr>
          <w:rFonts w:ascii="Cambria" w:hAnsi="Cambria"/>
        </w:rPr>
        <w:t>de la</w:t>
      </w:r>
      <w:proofErr w:type="gramEnd"/>
      <w:r w:rsidR="00E254AA" w:rsidRPr="004E441B">
        <w:rPr>
          <w:rFonts w:ascii="Cambria" w:hAnsi="Cambria"/>
        </w:rPr>
        <w:t xml:space="preserve"> non scolarisation et de la déscolarisation au Maroc</w:t>
      </w:r>
      <w:r w:rsidRPr="004E441B">
        <w:rPr>
          <w:rFonts w:ascii="Cambria" w:hAnsi="Cambria"/>
        </w:rPr>
        <w:t> ;</w:t>
      </w:r>
      <w:r w:rsidR="00C51D17" w:rsidRPr="004E441B">
        <w:rPr>
          <w:rFonts w:ascii="Cambria" w:hAnsi="Cambria"/>
        </w:rPr>
        <w:t xml:space="preserve"> </w:t>
      </w:r>
    </w:p>
    <w:p w:rsidR="00C51D17" w:rsidRPr="004E441B" w:rsidRDefault="00C51D17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  <w:color w:val="000000"/>
        </w:rPr>
      </w:pPr>
      <w:r w:rsidRPr="004E441B">
        <w:rPr>
          <w:rFonts w:ascii="Cambria" w:hAnsi="Cambria"/>
        </w:rPr>
        <w:t xml:space="preserve">Elaboration du dispositif de </w:t>
      </w:r>
      <w:r w:rsidR="00102CC4" w:rsidRPr="004E441B">
        <w:rPr>
          <w:rFonts w:ascii="Cambria" w:hAnsi="Cambria"/>
        </w:rPr>
        <w:t xml:space="preserve">suivi des élèves et de </w:t>
      </w:r>
      <w:r w:rsidRPr="004E441B">
        <w:rPr>
          <w:rFonts w:ascii="Cambria" w:hAnsi="Cambria"/>
        </w:rPr>
        <w:t>soutien pédagogique (projet E1P5 - Programme d’urgence)</w:t>
      </w:r>
      <w:r w:rsidR="007A19C5" w:rsidRPr="004E441B">
        <w:rPr>
          <w:rFonts w:ascii="Cambria" w:hAnsi="Cambria"/>
        </w:rPr>
        <w:t> ;</w:t>
      </w:r>
    </w:p>
    <w:p w:rsidR="00C51D17" w:rsidRPr="002C2348" w:rsidRDefault="00C51D17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4E441B">
        <w:rPr>
          <w:rFonts w:ascii="Cambria" w:hAnsi="Cambria"/>
        </w:rPr>
        <w:t>Capitalisation du recensement des enfants non scolarisé (publication d’un kit de l’opération 2007)</w:t>
      </w:r>
      <w:r w:rsidR="00102CC4" w:rsidRPr="004E441B">
        <w:rPr>
          <w:rFonts w:ascii="Cambria" w:hAnsi="Cambria"/>
        </w:rPr>
        <w:t> ;</w:t>
      </w:r>
    </w:p>
    <w:p w:rsidR="008C44CE" w:rsidRPr="002C2348" w:rsidRDefault="008C44CE" w:rsidP="002C2348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2C2348">
        <w:rPr>
          <w:rFonts w:ascii="Cambria" w:hAnsi="Cambria"/>
        </w:rPr>
        <w:t>Etude sur le suivi des enfants bénéficiaire</w:t>
      </w:r>
      <w:r w:rsidR="001E0257" w:rsidRPr="002C2348">
        <w:rPr>
          <w:rFonts w:ascii="Cambria" w:hAnsi="Cambria"/>
        </w:rPr>
        <w:t>s de l’éducation non formelle</w:t>
      </w:r>
      <w:r w:rsidR="00102CC4" w:rsidRPr="002C2348">
        <w:rPr>
          <w:rFonts w:ascii="Cambria" w:hAnsi="Cambria"/>
        </w:rPr>
        <w:t> ;</w:t>
      </w:r>
    </w:p>
    <w:p w:rsidR="00E254AA" w:rsidRPr="004E441B" w:rsidRDefault="00E254AA" w:rsidP="002C2348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4E441B">
        <w:rPr>
          <w:rFonts w:ascii="Cambria" w:hAnsi="Cambria"/>
        </w:rPr>
        <w:t>E</w:t>
      </w:r>
      <w:r w:rsidR="008C44CE" w:rsidRPr="004E441B">
        <w:rPr>
          <w:rFonts w:ascii="Cambria" w:hAnsi="Cambria"/>
        </w:rPr>
        <w:t xml:space="preserve">laboration d’un </w:t>
      </w:r>
      <w:r w:rsidRPr="004E441B">
        <w:rPr>
          <w:rFonts w:ascii="Cambria" w:hAnsi="Cambria"/>
        </w:rPr>
        <w:t>référentiel</w:t>
      </w:r>
      <w:r w:rsidR="008C44CE" w:rsidRPr="004E441B">
        <w:rPr>
          <w:rFonts w:ascii="Cambria" w:hAnsi="Cambria"/>
        </w:rPr>
        <w:t xml:space="preserve"> de qualité pour l’éducation non formelle</w:t>
      </w:r>
      <w:r w:rsidR="00E8593A" w:rsidRPr="004E441B">
        <w:rPr>
          <w:rFonts w:ascii="Cambria" w:hAnsi="Cambria"/>
        </w:rPr>
        <w:t> et</w:t>
      </w:r>
      <w:r w:rsidRPr="004E441B">
        <w:rPr>
          <w:rFonts w:ascii="Cambria" w:hAnsi="Cambria"/>
        </w:rPr>
        <w:t xml:space="preserve"> d’une méthodologie de son expérimentation</w:t>
      </w:r>
      <w:r w:rsidR="00102CC4" w:rsidRPr="004E441B">
        <w:rPr>
          <w:rFonts w:ascii="Cambria" w:hAnsi="Cambria"/>
        </w:rPr>
        <w:t> ;</w:t>
      </w:r>
    </w:p>
    <w:p w:rsidR="008C44CE" w:rsidRDefault="008C44CE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 w:rsidRPr="004E441B">
        <w:rPr>
          <w:rFonts w:ascii="Cambria" w:hAnsi="Cambria"/>
        </w:rPr>
        <w:t>Elaboration d’une stratégie d’accompagnement au développement des projets personnels pour les bénéficiaires de l’Education non formelle</w:t>
      </w:r>
      <w:r w:rsidR="00BD0667" w:rsidRPr="004E441B">
        <w:rPr>
          <w:rFonts w:ascii="Cambria" w:hAnsi="Cambria"/>
        </w:rPr>
        <w:t> ;</w:t>
      </w:r>
    </w:p>
    <w:p w:rsidR="002C2348" w:rsidRDefault="002C2348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Étude de suivi du projet de lutte contre les déperditions scolaires</w:t>
      </w:r>
    </w:p>
    <w:p w:rsidR="002C2348" w:rsidRPr="004E441B" w:rsidRDefault="002C2348" w:rsidP="004E441B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Étude de cas : </w:t>
      </w:r>
      <w:r w:rsidRPr="002C2348">
        <w:rPr>
          <w:rFonts w:ascii="Cambria" w:hAnsi="Cambria"/>
        </w:rPr>
        <w:t>Accompagnement des intervenants locaux dans la mise en œuvre du projet de lutte contre le décrochage scolaire et le redoublement </w:t>
      </w:r>
    </w:p>
    <w:p w:rsidR="009A3350" w:rsidRPr="004E441B" w:rsidRDefault="009A3350" w:rsidP="009A3350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C1404F" w:rsidRDefault="009A3350" w:rsidP="004D2F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smartTag w:uri="urn:schemas-microsoft-com:office:smarttags" w:element="PersonName">
        <w:smartTagPr>
          <w:attr w:name="ProductID" w:val="La DENF"/>
        </w:smartTagPr>
        <w:r w:rsidRPr="00EF0BB1">
          <w:rPr>
            <w:rFonts w:ascii="Cambria" w:hAnsi="Cambria"/>
            <w:sz w:val="24"/>
            <w:szCs w:val="24"/>
          </w:rPr>
          <w:t>La DENF</w:t>
        </w:r>
      </w:smartTag>
      <w:r w:rsidRPr="00EF0BB1">
        <w:rPr>
          <w:rFonts w:ascii="Cambria" w:hAnsi="Cambria"/>
          <w:sz w:val="24"/>
          <w:szCs w:val="24"/>
        </w:rPr>
        <w:t xml:space="preserve"> a exploité les résultats et les recommandations de ce</w:t>
      </w:r>
      <w:r w:rsidR="00102CC4">
        <w:rPr>
          <w:rFonts w:ascii="Cambria" w:hAnsi="Cambria"/>
          <w:sz w:val="24"/>
          <w:szCs w:val="24"/>
        </w:rPr>
        <w:t xml:space="preserve">rtaines </w:t>
      </w:r>
      <w:r w:rsidRPr="00EF0BB1">
        <w:rPr>
          <w:rFonts w:ascii="Cambria" w:hAnsi="Cambria"/>
          <w:sz w:val="24"/>
          <w:szCs w:val="24"/>
        </w:rPr>
        <w:t>actions. A titre d’exemple</w:t>
      </w:r>
      <w:r w:rsidR="00102CC4">
        <w:rPr>
          <w:rFonts w:ascii="Cambria" w:hAnsi="Cambria"/>
          <w:sz w:val="24"/>
          <w:szCs w:val="24"/>
        </w:rPr>
        <w:t>, l’opération «Child to Child</w:t>
      </w:r>
      <w:r w:rsidRPr="00EF0BB1">
        <w:rPr>
          <w:rFonts w:ascii="Cambria" w:hAnsi="Cambria"/>
          <w:sz w:val="24"/>
          <w:szCs w:val="24"/>
        </w:rPr>
        <w:t>» est maintenant généralisée et</w:t>
      </w:r>
      <w:r w:rsidR="004D2F2A">
        <w:rPr>
          <w:rFonts w:ascii="Cambria" w:hAnsi="Cambria"/>
          <w:sz w:val="24"/>
          <w:szCs w:val="24"/>
        </w:rPr>
        <w:t xml:space="preserve"> se réalise </w:t>
      </w:r>
      <w:r w:rsidRPr="00EF0BB1">
        <w:rPr>
          <w:rFonts w:ascii="Cambria" w:hAnsi="Cambria"/>
          <w:sz w:val="24"/>
          <w:szCs w:val="24"/>
        </w:rPr>
        <w:t>annuellement.</w:t>
      </w:r>
    </w:p>
    <w:p w:rsidR="004D2F2A" w:rsidRPr="004E441B" w:rsidRDefault="004D2F2A" w:rsidP="004D2F2A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9A3350" w:rsidRDefault="002C2348" w:rsidP="009412C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Dans cette</w:t>
      </w:r>
      <w:r w:rsidR="004E441B">
        <w:rPr>
          <w:rFonts w:ascii="Cambria" w:hAnsi="Cambria"/>
          <w:sz w:val="24"/>
          <w:szCs w:val="24"/>
        </w:rPr>
        <w:t xml:space="preserve"> continuité</w:t>
      </w:r>
      <w:r w:rsidR="004D2F2A">
        <w:rPr>
          <w:rFonts w:ascii="Cambria" w:hAnsi="Cambria"/>
          <w:sz w:val="24"/>
          <w:szCs w:val="24"/>
        </w:rPr>
        <w:t>,</w:t>
      </w:r>
      <w:r w:rsidR="00BD0667">
        <w:rPr>
          <w:rFonts w:ascii="Cambria" w:hAnsi="Cambria"/>
          <w:sz w:val="24"/>
          <w:szCs w:val="24"/>
        </w:rPr>
        <w:t xml:space="preserve"> </w:t>
      </w:r>
      <w:r w:rsidR="004C085A">
        <w:rPr>
          <w:rFonts w:ascii="Cambria" w:hAnsi="Cambria"/>
          <w:sz w:val="24"/>
          <w:szCs w:val="24"/>
        </w:rPr>
        <w:t xml:space="preserve">la DENF compte </w:t>
      </w:r>
      <w:r w:rsidR="00BD035E">
        <w:rPr>
          <w:rFonts w:ascii="Cambria" w:hAnsi="Cambria"/>
          <w:sz w:val="24"/>
          <w:szCs w:val="24"/>
        </w:rPr>
        <w:t xml:space="preserve">mettre </w:t>
      </w:r>
      <w:r w:rsidR="004C085A">
        <w:rPr>
          <w:rFonts w:ascii="Cambria" w:hAnsi="Cambria"/>
          <w:sz w:val="24"/>
          <w:szCs w:val="24"/>
        </w:rPr>
        <w:t xml:space="preserve">en </w:t>
      </w:r>
      <w:r w:rsidR="004E441B">
        <w:rPr>
          <w:rFonts w:ascii="Cambria" w:hAnsi="Cambria"/>
          <w:sz w:val="24"/>
          <w:szCs w:val="24"/>
        </w:rPr>
        <w:t>œuvre d</w:t>
      </w:r>
      <w:r w:rsidR="004D2F2A">
        <w:rPr>
          <w:rFonts w:ascii="Cambria" w:hAnsi="Cambria"/>
          <w:sz w:val="24"/>
          <w:szCs w:val="24"/>
        </w:rPr>
        <w:t xml:space="preserve">es actions </w:t>
      </w:r>
      <w:r w:rsidR="004E441B">
        <w:rPr>
          <w:rFonts w:ascii="Cambria" w:hAnsi="Cambria"/>
          <w:sz w:val="24"/>
          <w:szCs w:val="24"/>
        </w:rPr>
        <w:t xml:space="preserve">entamées </w:t>
      </w:r>
      <w:r w:rsidR="006D57F5">
        <w:rPr>
          <w:rFonts w:ascii="Cambria" w:hAnsi="Cambria"/>
          <w:sz w:val="24"/>
          <w:szCs w:val="24"/>
        </w:rPr>
        <w:t>dans le cadre</w:t>
      </w:r>
      <w:r w:rsidR="00D06576" w:rsidRPr="00D06576">
        <w:rPr>
          <w:rFonts w:ascii="Cambria" w:hAnsi="Cambria"/>
          <w:sz w:val="24"/>
          <w:szCs w:val="24"/>
        </w:rPr>
        <w:t xml:space="preserve"> </w:t>
      </w:r>
      <w:r w:rsidR="006D57F5">
        <w:rPr>
          <w:rFonts w:ascii="Cambria" w:hAnsi="Cambria"/>
          <w:sz w:val="24"/>
          <w:szCs w:val="24"/>
        </w:rPr>
        <w:t>d</w:t>
      </w:r>
      <w:r w:rsidR="007E551E">
        <w:rPr>
          <w:rFonts w:ascii="Cambria" w:hAnsi="Cambria"/>
          <w:sz w:val="24"/>
          <w:szCs w:val="24"/>
        </w:rPr>
        <w:t>es</w:t>
      </w:r>
      <w:r w:rsidR="006D57F5">
        <w:rPr>
          <w:rFonts w:ascii="Cambria" w:hAnsi="Cambria"/>
          <w:sz w:val="24"/>
          <w:szCs w:val="24"/>
        </w:rPr>
        <w:t xml:space="preserve"> programme</w:t>
      </w:r>
      <w:r w:rsidR="007E551E">
        <w:rPr>
          <w:rFonts w:ascii="Cambria" w:hAnsi="Cambria"/>
          <w:sz w:val="24"/>
          <w:szCs w:val="24"/>
        </w:rPr>
        <w:t>s</w:t>
      </w:r>
      <w:r w:rsidR="006D57F5">
        <w:rPr>
          <w:rFonts w:ascii="Cambria" w:hAnsi="Cambria"/>
          <w:sz w:val="24"/>
          <w:szCs w:val="24"/>
        </w:rPr>
        <w:t xml:space="preserve"> de coopération DENF</w:t>
      </w:r>
      <w:r w:rsidR="004D2F2A">
        <w:rPr>
          <w:rFonts w:ascii="Cambria" w:hAnsi="Cambria"/>
          <w:sz w:val="24"/>
          <w:szCs w:val="24"/>
        </w:rPr>
        <w:t xml:space="preserve">-UNICEF </w:t>
      </w:r>
      <w:r w:rsidR="00D06576">
        <w:rPr>
          <w:rFonts w:ascii="Cambria" w:hAnsi="Cambria"/>
          <w:sz w:val="24"/>
          <w:szCs w:val="24"/>
        </w:rPr>
        <w:t>20</w:t>
      </w:r>
      <w:r w:rsidR="007E551E">
        <w:rPr>
          <w:rFonts w:ascii="Cambria" w:hAnsi="Cambria"/>
          <w:sz w:val="24"/>
          <w:szCs w:val="24"/>
        </w:rPr>
        <w:t>1</w:t>
      </w:r>
      <w:r w:rsidR="009412CA">
        <w:rPr>
          <w:rFonts w:ascii="Cambria" w:hAnsi="Cambria"/>
          <w:sz w:val="24"/>
          <w:szCs w:val="24"/>
        </w:rPr>
        <w:t>3</w:t>
      </w:r>
      <w:r w:rsidR="00D06576">
        <w:rPr>
          <w:rFonts w:ascii="Cambria" w:hAnsi="Cambria"/>
          <w:sz w:val="24"/>
          <w:szCs w:val="24"/>
        </w:rPr>
        <w:t>-201</w:t>
      </w:r>
      <w:r w:rsidR="009412CA">
        <w:rPr>
          <w:rFonts w:ascii="Cambria" w:hAnsi="Cambria"/>
          <w:sz w:val="24"/>
          <w:szCs w:val="24"/>
        </w:rPr>
        <w:t>4</w:t>
      </w:r>
      <w:r w:rsidR="004C085A">
        <w:rPr>
          <w:rFonts w:ascii="Cambria" w:hAnsi="Cambria"/>
          <w:sz w:val="24"/>
          <w:szCs w:val="24"/>
        </w:rPr>
        <w:t xml:space="preserve">. Elle vise l’exploitation des résultats acquis </w:t>
      </w:r>
      <w:r w:rsidR="007E551E">
        <w:rPr>
          <w:rFonts w:ascii="Cambria" w:hAnsi="Cambria"/>
          <w:sz w:val="24"/>
          <w:szCs w:val="24"/>
        </w:rPr>
        <w:t>dans la première tranche de ce cycle de coopération. Nous visons particulièrement la mise en place du processus de l</w:t>
      </w:r>
      <w:r w:rsidR="00102CC4">
        <w:rPr>
          <w:rFonts w:ascii="Cambria" w:hAnsi="Cambria"/>
          <w:sz w:val="24"/>
          <w:szCs w:val="24"/>
        </w:rPr>
        <w:t xml:space="preserve">a </w:t>
      </w:r>
      <w:r w:rsidR="001E0257" w:rsidRPr="00EF0BB1">
        <w:rPr>
          <w:rFonts w:ascii="Cambria" w:hAnsi="Cambria"/>
          <w:sz w:val="24"/>
          <w:szCs w:val="24"/>
        </w:rPr>
        <w:t>stratégie du</w:t>
      </w:r>
      <w:r w:rsidR="007E551E">
        <w:rPr>
          <w:rFonts w:ascii="Cambria" w:hAnsi="Cambria"/>
          <w:sz w:val="24"/>
          <w:szCs w:val="24"/>
        </w:rPr>
        <w:t xml:space="preserve"> projet personnel d’insertion, </w:t>
      </w:r>
      <w:proofErr w:type="gramStart"/>
      <w:r w:rsidR="001E0257" w:rsidRPr="00EF0BB1">
        <w:rPr>
          <w:rFonts w:ascii="Cambria" w:hAnsi="Cambria"/>
          <w:sz w:val="24"/>
          <w:szCs w:val="24"/>
        </w:rPr>
        <w:t>le référentiel</w:t>
      </w:r>
      <w:proofErr w:type="gramEnd"/>
      <w:r w:rsidR="007E551E">
        <w:rPr>
          <w:rFonts w:ascii="Cambria" w:hAnsi="Cambria"/>
          <w:sz w:val="24"/>
          <w:szCs w:val="24"/>
        </w:rPr>
        <w:t xml:space="preserve"> </w:t>
      </w:r>
      <w:r w:rsidR="001E0257" w:rsidRPr="00EF0BB1">
        <w:rPr>
          <w:rFonts w:ascii="Cambria" w:hAnsi="Cambria"/>
          <w:sz w:val="24"/>
          <w:szCs w:val="24"/>
        </w:rPr>
        <w:t xml:space="preserve">qualité de l’ENF </w:t>
      </w:r>
      <w:r w:rsidR="007E551E">
        <w:rPr>
          <w:rFonts w:ascii="Cambria" w:hAnsi="Cambria"/>
          <w:sz w:val="24"/>
          <w:szCs w:val="24"/>
        </w:rPr>
        <w:t>et les acquis de l’étude de cas</w:t>
      </w:r>
      <w:r>
        <w:rPr>
          <w:rFonts w:ascii="Cambria" w:hAnsi="Cambria"/>
          <w:sz w:val="24"/>
          <w:szCs w:val="24"/>
        </w:rPr>
        <w:t xml:space="preserve"> : </w:t>
      </w:r>
      <w:r w:rsidR="007E551E">
        <w:rPr>
          <w:rFonts w:ascii="Cambria" w:hAnsi="Cambria"/>
          <w:sz w:val="24"/>
          <w:szCs w:val="24"/>
        </w:rPr>
        <w:t>suivi du projet de lutte contre les échecs et les abandons scolaires qui feront l’objet de mise en place au niveau local</w:t>
      </w:r>
      <w:r w:rsidR="001E0257" w:rsidRPr="00EF0BB1">
        <w:rPr>
          <w:rFonts w:ascii="Cambria" w:hAnsi="Cambria"/>
          <w:sz w:val="24"/>
          <w:szCs w:val="24"/>
        </w:rPr>
        <w:t>.</w:t>
      </w:r>
    </w:p>
    <w:p w:rsidR="00102CC4" w:rsidRDefault="007E551E" w:rsidP="002C23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DENF vise aussi le lancement d’une étude de faisabilité pour la mise en place de centres socioéducatifs à même de garantir les meilleures chances pour la mise à niveau des bénéficiaire de l’ENF et leur </w:t>
      </w:r>
      <w:r w:rsidR="002C2348">
        <w:rPr>
          <w:rFonts w:ascii="Cambria" w:hAnsi="Cambria"/>
          <w:sz w:val="24"/>
          <w:szCs w:val="24"/>
        </w:rPr>
        <w:t xml:space="preserve">assurer </w:t>
      </w:r>
      <w:r>
        <w:rPr>
          <w:rFonts w:ascii="Cambria" w:hAnsi="Cambria"/>
          <w:sz w:val="24"/>
          <w:szCs w:val="24"/>
        </w:rPr>
        <w:t>le plus</w:t>
      </w:r>
      <w:r w:rsidR="002C2348">
        <w:rPr>
          <w:rFonts w:ascii="Cambria" w:hAnsi="Cambria"/>
          <w:sz w:val="24"/>
          <w:szCs w:val="24"/>
        </w:rPr>
        <w:t xml:space="preserve"> de chance pour leur insertion.</w:t>
      </w:r>
    </w:p>
    <w:p w:rsidR="002C2348" w:rsidRDefault="002C2348" w:rsidP="00E859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Pour garantir une meilleure visibilité sur le phénomène de déperdition scolaire et la mobilisation autour, la DENF compte lancer une étude dans ce programme de coopération </w:t>
      </w:r>
      <w:r w:rsidR="00E8593A">
        <w:rPr>
          <w:rFonts w:ascii="Cambria" w:hAnsi="Cambria"/>
          <w:sz w:val="24"/>
          <w:szCs w:val="24"/>
        </w:rPr>
        <w:t xml:space="preserve">visant </w:t>
      </w:r>
      <w:r>
        <w:rPr>
          <w:rFonts w:ascii="Cambria" w:hAnsi="Cambria"/>
          <w:sz w:val="24"/>
          <w:szCs w:val="24"/>
        </w:rPr>
        <w:t>le développeme</w:t>
      </w:r>
      <w:r w:rsidR="00E8593A">
        <w:rPr>
          <w:rFonts w:ascii="Cambria" w:hAnsi="Cambria"/>
          <w:sz w:val="24"/>
          <w:szCs w:val="24"/>
        </w:rPr>
        <w:t>nt d’une stratégie de plaidoyer.</w:t>
      </w:r>
    </w:p>
    <w:p w:rsidR="002C2348" w:rsidRPr="002C2348" w:rsidRDefault="002C2348" w:rsidP="002C23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54E39" w:rsidRPr="00204817" w:rsidRDefault="00954E39" w:rsidP="00954E39">
      <w:pPr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204817">
        <w:rPr>
          <w:rFonts w:ascii="Cambria" w:hAnsi="Cambria"/>
          <w:b/>
          <w:bCs/>
          <w:sz w:val="24"/>
          <w:szCs w:val="24"/>
        </w:rPr>
        <w:t xml:space="preserve">Actions de </w:t>
      </w:r>
      <w:smartTag w:uri="urn:schemas-microsoft-com:office:smarttags" w:element="PersonName">
        <w:smartTagPr>
          <w:attr w:name="ProductID" w:val="La DENF"/>
        </w:smartTagPr>
        <w:r w:rsidRPr="00204817">
          <w:rPr>
            <w:rFonts w:ascii="Cambria" w:hAnsi="Cambria"/>
            <w:b/>
            <w:bCs/>
            <w:sz w:val="24"/>
            <w:szCs w:val="24"/>
          </w:rPr>
          <w:t>la DENF</w:t>
        </w:r>
      </w:smartTag>
      <w:r>
        <w:rPr>
          <w:rFonts w:ascii="Cambria" w:hAnsi="Cambria"/>
          <w:b/>
          <w:bCs/>
          <w:sz w:val="24"/>
          <w:szCs w:val="24"/>
        </w:rPr>
        <w:t xml:space="preserve"> dans le cadre de l’UNDAF</w:t>
      </w:r>
    </w:p>
    <w:p w:rsidR="000D2A29" w:rsidRDefault="002C2348" w:rsidP="002F0DBB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B84867">
        <w:rPr>
          <w:rFonts w:ascii="Cambria" w:hAnsi="Cambria"/>
          <w:sz w:val="24"/>
          <w:szCs w:val="24"/>
        </w:rPr>
        <w:t xml:space="preserve">e cycle de coopération </w:t>
      </w:r>
      <w:r>
        <w:rPr>
          <w:rFonts w:ascii="Cambria" w:hAnsi="Cambria"/>
          <w:sz w:val="24"/>
          <w:szCs w:val="24"/>
        </w:rPr>
        <w:t xml:space="preserve">MENFP-UNICEF </w:t>
      </w:r>
      <w:r w:rsidR="00B84867">
        <w:rPr>
          <w:rFonts w:ascii="Cambria" w:hAnsi="Cambria"/>
          <w:sz w:val="24"/>
          <w:szCs w:val="24"/>
        </w:rPr>
        <w:t xml:space="preserve">s’inscrit dans le cadre de </w:t>
      </w:r>
      <w:r w:rsidR="002F0DBB">
        <w:rPr>
          <w:rFonts w:ascii="Cambria" w:hAnsi="Cambria"/>
          <w:sz w:val="24"/>
          <w:szCs w:val="24"/>
        </w:rPr>
        <w:t>l’effet 1 (Outcome</w:t>
      </w:r>
      <w:r w:rsidR="000D2A29" w:rsidRPr="0038290D">
        <w:rPr>
          <w:rFonts w:ascii="Cambria" w:hAnsi="Cambria"/>
          <w:sz w:val="24"/>
          <w:szCs w:val="24"/>
        </w:rPr>
        <w:t>1</w:t>
      </w:r>
      <w:r w:rsidR="000D2A29">
        <w:rPr>
          <w:rFonts w:ascii="Cambria" w:hAnsi="Cambria"/>
          <w:sz w:val="24"/>
          <w:szCs w:val="24"/>
        </w:rPr>
        <w:t xml:space="preserve">) de l’UNDAF </w:t>
      </w:r>
      <w:r w:rsidR="002F0DBB">
        <w:rPr>
          <w:rFonts w:ascii="Cambria" w:hAnsi="Cambria"/>
          <w:sz w:val="24"/>
          <w:szCs w:val="24"/>
        </w:rPr>
        <w:t xml:space="preserve">qui aspire à ce </w:t>
      </w:r>
      <w:r w:rsidR="004E441B">
        <w:rPr>
          <w:rFonts w:ascii="Cambria" w:hAnsi="Cambria"/>
          <w:sz w:val="24"/>
          <w:szCs w:val="24"/>
        </w:rPr>
        <w:t xml:space="preserve">que </w:t>
      </w:r>
      <w:r w:rsidR="005A6521">
        <w:rPr>
          <w:rFonts w:ascii="Cambria" w:hAnsi="Cambria"/>
          <w:sz w:val="24"/>
          <w:szCs w:val="24"/>
        </w:rPr>
        <w:t>"</w:t>
      </w:r>
      <w:r w:rsidR="000D2A29">
        <w:rPr>
          <w:rFonts w:ascii="Cambria" w:hAnsi="Cambria"/>
          <w:sz w:val="24"/>
          <w:szCs w:val="24"/>
        </w:rPr>
        <w:t xml:space="preserve">les contraintes et iniquités en matière </w:t>
      </w:r>
      <w:r w:rsidR="000D2A29" w:rsidRPr="00220FF4">
        <w:rPr>
          <w:rFonts w:ascii="Cambria" w:hAnsi="Cambria"/>
          <w:b/>
          <w:bCs/>
          <w:sz w:val="24"/>
          <w:szCs w:val="24"/>
        </w:rPr>
        <w:t>d’accès</w:t>
      </w:r>
      <w:r w:rsidR="000D2A29">
        <w:rPr>
          <w:rFonts w:ascii="Cambria" w:hAnsi="Cambria"/>
          <w:sz w:val="24"/>
          <w:szCs w:val="24"/>
        </w:rPr>
        <w:t xml:space="preserve"> et de </w:t>
      </w:r>
      <w:r w:rsidR="000D2A29" w:rsidRPr="00220FF4">
        <w:rPr>
          <w:rFonts w:ascii="Cambria" w:hAnsi="Cambria"/>
          <w:b/>
          <w:bCs/>
          <w:sz w:val="24"/>
          <w:szCs w:val="24"/>
        </w:rPr>
        <w:t>rétention</w:t>
      </w:r>
      <w:r w:rsidR="000D2A29">
        <w:rPr>
          <w:rFonts w:ascii="Cambria" w:hAnsi="Cambria"/>
          <w:sz w:val="24"/>
          <w:szCs w:val="24"/>
        </w:rPr>
        <w:t xml:space="preserve">, </w:t>
      </w:r>
      <w:r w:rsidR="000D2A29" w:rsidRPr="00220FF4">
        <w:rPr>
          <w:rFonts w:ascii="Cambria" w:hAnsi="Cambria"/>
          <w:b/>
          <w:bCs/>
          <w:sz w:val="24"/>
          <w:szCs w:val="24"/>
        </w:rPr>
        <w:t>de qualité et</w:t>
      </w:r>
      <w:r w:rsidR="000D2A29">
        <w:rPr>
          <w:rFonts w:ascii="Cambria" w:hAnsi="Cambria"/>
          <w:sz w:val="24"/>
          <w:szCs w:val="24"/>
        </w:rPr>
        <w:t xml:space="preserve"> de </w:t>
      </w:r>
      <w:r w:rsidR="000D2A29" w:rsidRPr="00220FF4">
        <w:rPr>
          <w:rFonts w:ascii="Cambria" w:hAnsi="Cambria"/>
          <w:b/>
          <w:bCs/>
          <w:sz w:val="24"/>
          <w:szCs w:val="24"/>
        </w:rPr>
        <w:t>gouvernance</w:t>
      </w:r>
      <w:r w:rsidR="000D2A29">
        <w:rPr>
          <w:rFonts w:ascii="Cambria" w:hAnsi="Cambria"/>
          <w:sz w:val="24"/>
          <w:szCs w:val="24"/>
        </w:rPr>
        <w:t xml:space="preserve"> de l’éducation de base et de formation</w:t>
      </w:r>
      <w:r w:rsidR="00976356">
        <w:rPr>
          <w:rFonts w:ascii="Cambria" w:hAnsi="Cambria"/>
          <w:sz w:val="24"/>
          <w:szCs w:val="24"/>
        </w:rPr>
        <w:t>, formelle et non formelle</w:t>
      </w:r>
      <w:r w:rsidR="000D2A29">
        <w:rPr>
          <w:rFonts w:ascii="Cambria" w:hAnsi="Cambria"/>
          <w:sz w:val="24"/>
          <w:szCs w:val="24"/>
        </w:rPr>
        <w:t xml:space="preserve"> sont réduites, particulièrement pour les groupes vulnérables tout au long du processus d’apprentissage et de formation</w:t>
      </w:r>
      <w:r w:rsidR="005A6521">
        <w:rPr>
          <w:rFonts w:ascii="Cambria" w:hAnsi="Cambria"/>
          <w:sz w:val="24"/>
          <w:szCs w:val="24"/>
        </w:rPr>
        <w:t>".</w:t>
      </w:r>
    </w:p>
    <w:p w:rsidR="00926B79" w:rsidRDefault="004E441B" w:rsidP="00926B7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926B79" w:rsidRPr="0038290D">
        <w:rPr>
          <w:rFonts w:ascii="Cambria" w:hAnsi="Cambria"/>
          <w:sz w:val="24"/>
          <w:szCs w:val="24"/>
        </w:rPr>
        <w:t xml:space="preserve">es actions </w:t>
      </w:r>
      <w:r w:rsidR="00BD035E">
        <w:rPr>
          <w:rFonts w:ascii="Cambria" w:hAnsi="Cambria"/>
          <w:sz w:val="24"/>
          <w:szCs w:val="24"/>
        </w:rPr>
        <w:t>de la DENF-</w:t>
      </w:r>
      <w:r w:rsidR="00926B79">
        <w:rPr>
          <w:rFonts w:ascii="Cambria" w:hAnsi="Cambria"/>
          <w:sz w:val="24"/>
          <w:szCs w:val="24"/>
        </w:rPr>
        <w:t xml:space="preserve">UNICEF s'inscrivent dans cet "effet 1" et </w:t>
      </w:r>
      <w:r w:rsidR="00926B79" w:rsidRPr="0038290D">
        <w:rPr>
          <w:rFonts w:ascii="Cambria" w:hAnsi="Cambria"/>
          <w:sz w:val="24"/>
          <w:szCs w:val="24"/>
        </w:rPr>
        <w:t xml:space="preserve">visent l’amélioration de </w:t>
      </w:r>
      <w:r w:rsidR="00926B79" w:rsidRPr="00926B79">
        <w:rPr>
          <w:rFonts w:ascii="Cambria" w:hAnsi="Cambria"/>
          <w:b/>
          <w:bCs/>
          <w:sz w:val="24"/>
          <w:szCs w:val="24"/>
        </w:rPr>
        <w:t>(i)</w:t>
      </w:r>
      <w:r w:rsidR="002F0DBB">
        <w:rPr>
          <w:rFonts w:ascii="Cambria" w:hAnsi="Cambria"/>
          <w:sz w:val="24"/>
          <w:szCs w:val="24"/>
        </w:rPr>
        <w:t xml:space="preserve"> </w:t>
      </w:r>
      <w:r w:rsidR="00926B79" w:rsidRPr="00EF572C">
        <w:rPr>
          <w:rFonts w:ascii="Cambria" w:hAnsi="Cambria"/>
          <w:sz w:val="24"/>
          <w:szCs w:val="24"/>
        </w:rPr>
        <w:t xml:space="preserve">l’accès et la rétention des vulnérables </w:t>
      </w:r>
      <w:r w:rsidR="00926B79" w:rsidRPr="00926B79">
        <w:rPr>
          <w:rFonts w:ascii="Cambria" w:hAnsi="Cambria"/>
          <w:b/>
          <w:bCs/>
          <w:sz w:val="24"/>
          <w:szCs w:val="24"/>
        </w:rPr>
        <w:t>(ii)</w:t>
      </w:r>
      <w:r w:rsidR="00926B79" w:rsidRPr="00EF572C">
        <w:rPr>
          <w:rFonts w:ascii="Cambria" w:hAnsi="Cambria"/>
          <w:sz w:val="24"/>
          <w:szCs w:val="24"/>
        </w:rPr>
        <w:t xml:space="preserve"> de la qualité de l’éducation, </w:t>
      </w:r>
      <w:r w:rsidR="00926B79" w:rsidRPr="00926B79">
        <w:rPr>
          <w:rFonts w:ascii="Cambria" w:hAnsi="Cambria"/>
          <w:b/>
          <w:bCs/>
          <w:sz w:val="24"/>
          <w:szCs w:val="24"/>
        </w:rPr>
        <w:t>(iii)</w:t>
      </w:r>
      <w:r w:rsidR="00926B79" w:rsidRPr="00EF572C">
        <w:rPr>
          <w:rFonts w:ascii="Cambria" w:hAnsi="Cambria"/>
          <w:sz w:val="24"/>
          <w:szCs w:val="24"/>
        </w:rPr>
        <w:t xml:space="preserve"> de la </w:t>
      </w:r>
      <w:r w:rsidR="00266956">
        <w:rPr>
          <w:rFonts w:ascii="Cambria" w:hAnsi="Cambria"/>
          <w:sz w:val="24"/>
          <w:szCs w:val="24"/>
          <w:lang w:val="fr-MA"/>
        </w:rPr>
        <w:t>gouvernance</w:t>
      </w:r>
      <w:r w:rsidR="00926B79" w:rsidRPr="0038290D">
        <w:rPr>
          <w:rFonts w:ascii="Cambria" w:hAnsi="Cambria"/>
          <w:sz w:val="24"/>
          <w:szCs w:val="24"/>
          <w:lang w:val="fr-MA"/>
        </w:rPr>
        <w:t xml:space="preserve"> </w:t>
      </w:r>
      <w:r w:rsidR="00926B79" w:rsidRPr="00926B79">
        <w:rPr>
          <w:rFonts w:ascii="Cambria" w:hAnsi="Cambria"/>
          <w:b/>
          <w:bCs/>
          <w:sz w:val="24"/>
          <w:szCs w:val="24"/>
          <w:lang w:val="fr-MA"/>
        </w:rPr>
        <w:t>(iv)</w:t>
      </w:r>
      <w:r w:rsidR="00926B79" w:rsidRPr="0038290D">
        <w:rPr>
          <w:rFonts w:ascii="Cambria" w:hAnsi="Cambria"/>
          <w:sz w:val="24"/>
          <w:szCs w:val="24"/>
          <w:lang w:val="fr-MA"/>
        </w:rPr>
        <w:t xml:space="preserve"> et </w:t>
      </w:r>
      <w:r w:rsidR="00926B79">
        <w:rPr>
          <w:rFonts w:ascii="Cambria" w:hAnsi="Cambria"/>
          <w:sz w:val="24"/>
          <w:szCs w:val="24"/>
          <w:lang w:val="fr-MA"/>
        </w:rPr>
        <w:t xml:space="preserve">du </w:t>
      </w:r>
      <w:r w:rsidR="00926B79" w:rsidRPr="00EF572C">
        <w:rPr>
          <w:rFonts w:ascii="Cambria" w:hAnsi="Cambria"/>
          <w:sz w:val="24"/>
          <w:szCs w:val="24"/>
        </w:rPr>
        <w:t>développement des adolescents.</w:t>
      </w:r>
    </w:p>
    <w:p w:rsidR="001F431D" w:rsidRDefault="005A6521" w:rsidP="002F0D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Parmi les produits </w:t>
      </w:r>
      <w:r w:rsidR="004C085A">
        <w:rPr>
          <w:rFonts w:ascii="Cambria" w:hAnsi="Cambria"/>
          <w:sz w:val="24"/>
          <w:szCs w:val="24"/>
        </w:rPr>
        <w:t>recherchés</w:t>
      </w:r>
      <w:r>
        <w:rPr>
          <w:rFonts w:ascii="Cambria" w:hAnsi="Cambria"/>
          <w:sz w:val="24"/>
          <w:szCs w:val="24"/>
        </w:rPr>
        <w:t xml:space="preserve"> par cet </w:t>
      </w:r>
      <w:proofErr w:type="spellStart"/>
      <w:r w:rsidR="006C16BC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utcome</w:t>
      </w:r>
      <w:proofErr w:type="spellEnd"/>
      <w:r>
        <w:rPr>
          <w:rFonts w:ascii="Cambria" w:hAnsi="Cambria"/>
          <w:sz w:val="24"/>
          <w:szCs w:val="24"/>
        </w:rPr>
        <w:t xml:space="preserve"> figu</w:t>
      </w:r>
      <w:r w:rsidR="004E441B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e </w:t>
      </w:r>
      <w:r w:rsidR="007D01D0">
        <w:rPr>
          <w:rFonts w:ascii="Cambria" w:hAnsi="Cambria"/>
          <w:sz w:val="24"/>
          <w:szCs w:val="24"/>
        </w:rPr>
        <w:t xml:space="preserve">un volet </w:t>
      </w:r>
      <w:r>
        <w:rPr>
          <w:rFonts w:ascii="Cambria" w:hAnsi="Cambria"/>
          <w:sz w:val="24"/>
          <w:szCs w:val="24"/>
        </w:rPr>
        <w:t xml:space="preserve">qui </w:t>
      </w:r>
      <w:r w:rsidR="00954E39">
        <w:rPr>
          <w:rFonts w:ascii="Cambria" w:hAnsi="Cambria"/>
          <w:sz w:val="24"/>
          <w:szCs w:val="24"/>
        </w:rPr>
        <w:t xml:space="preserve">se rapporte </w:t>
      </w:r>
      <w:r w:rsidR="00291171">
        <w:rPr>
          <w:rFonts w:ascii="Cambria" w:hAnsi="Cambria"/>
          <w:sz w:val="24"/>
          <w:szCs w:val="24"/>
        </w:rPr>
        <w:t xml:space="preserve">à </w:t>
      </w:r>
      <w:r w:rsidR="00954E39">
        <w:rPr>
          <w:rFonts w:ascii="Cambria" w:hAnsi="Cambria"/>
          <w:sz w:val="24"/>
          <w:szCs w:val="24"/>
        </w:rPr>
        <w:t>l’éducation Non Formell</w:t>
      </w:r>
      <w:r w:rsidR="004E441B">
        <w:rPr>
          <w:rFonts w:ascii="Cambria" w:hAnsi="Cambria"/>
          <w:sz w:val="24"/>
          <w:szCs w:val="24"/>
        </w:rPr>
        <w:t>e.</w:t>
      </w:r>
      <w:r w:rsidR="00954E39">
        <w:rPr>
          <w:rFonts w:ascii="Cambria" w:hAnsi="Cambria"/>
          <w:sz w:val="24"/>
          <w:szCs w:val="24"/>
        </w:rPr>
        <w:t xml:space="preserve"> </w:t>
      </w:r>
      <w:r w:rsidR="004E441B"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sz w:val="24"/>
          <w:szCs w:val="24"/>
        </w:rPr>
        <w:t xml:space="preserve"> </w:t>
      </w:r>
      <w:r w:rsidR="00954E39">
        <w:rPr>
          <w:rFonts w:ascii="Cambria" w:hAnsi="Cambria"/>
          <w:sz w:val="24"/>
          <w:szCs w:val="24"/>
        </w:rPr>
        <w:t xml:space="preserve">vise le renforcement de la capacité des acteurs clefs de l’ENF en matière de </w:t>
      </w:r>
      <w:r w:rsidR="006C16BC">
        <w:rPr>
          <w:rFonts w:ascii="Cambria" w:hAnsi="Cambria"/>
          <w:sz w:val="24"/>
          <w:szCs w:val="24"/>
        </w:rPr>
        <w:t xml:space="preserve">(i) </w:t>
      </w:r>
      <w:r w:rsidR="004C085A">
        <w:rPr>
          <w:rFonts w:ascii="Cambria" w:hAnsi="Cambria"/>
          <w:sz w:val="24"/>
          <w:szCs w:val="24"/>
        </w:rPr>
        <w:t>gestion,</w:t>
      </w:r>
      <w:r w:rsidR="006C16BC">
        <w:rPr>
          <w:rFonts w:ascii="Cambria" w:hAnsi="Cambria"/>
          <w:sz w:val="24"/>
          <w:szCs w:val="24"/>
        </w:rPr>
        <w:t xml:space="preserve"> (ii) </w:t>
      </w:r>
      <w:r w:rsidR="00954E39">
        <w:rPr>
          <w:rFonts w:ascii="Cambria" w:hAnsi="Cambria"/>
          <w:sz w:val="24"/>
          <w:szCs w:val="24"/>
        </w:rPr>
        <w:t>d’amélioration de</w:t>
      </w:r>
      <w:r w:rsidR="004E441B">
        <w:rPr>
          <w:rFonts w:ascii="Cambria" w:hAnsi="Cambria"/>
          <w:sz w:val="24"/>
          <w:szCs w:val="24"/>
        </w:rPr>
        <w:t>s</w:t>
      </w:r>
      <w:r w:rsidR="00954E39">
        <w:rPr>
          <w:rFonts w:ascii="Cambria" w:hAnsi="Cambria"/>
          <w:sz w:val="24"/>
          <w:szCs w:val="24"/>
        </w:rPr>
        <w:t xml:space="preserve"> programmes </w:t>
      </w:r>
      <w:r w:rsidR="006C16BC">
        <w:rPr>
          <w:rFonts w:ascii="Cambria" w:hAnsi="Cambria"/>
          <w:sz w:val="24"/>
          <w:szCs w:val="24"/>
        </w:rPr>
        <w:t>pour l</w:t>
      </w:r>
      <w:r w:rsidR="00954E39">
        <w:rPr>
          <w:rFonts w:ascii="Cambria" w:hAnsi="Cambria"/>
          <w:sz w:val="24"/>
          <w:szCs w:val="24"/>
        </w:rPr>
        <w:t>’insertion des bénéficiaires.</w:t>
      </w:r>
      <w:r w:rsidR="002F0DBB">
        <w:rPr>
          <w:rFonts w:ascii="Cambria" w:hAnsi="Cambria"/>
          <w:sz w:val="24"/>
          <w:szCs w:val="24"/>
        </w:rPr>
        <w:t xml:space="preserve"> </w:t>
      </w:r>
      <w:r w:rsidR="00291171">
        <w:rPr>
          <w:rFonts w:ascii="Cambria" w:hAnsi="Cambria"/>
          <w:sz w:val="24"/>
          <w:szCs w:val="24"/>
        </w:rPr>
        <w:t>En phase avec cette orientation</w:t>
      </w:r>
      <w:r w:rsidR="00291171" w:rsidRPr="00291171">
        <w:rPr>
          <w:rFonts w:ascii="Cambria" w:hAnsi="Cambria"/>
          <w:sz w:val="24"/>
          <w:szCs w:val="24"/>
        </w:rPr>
        <w:t xml:space="preserve"> </w:t>
      </w:r>
      <w:r w:rsidR="00291171">
        <w:rPr>
          <w:rFonts w:ascii="Cambria" w:hAnsi="Cambria"/>
          <w:sz w:val="24"/>
          <w:szCs w:val="24"/>
        </w:rPr>
        <w:t xml:space="preserve">de l’UNDAF-UNICEF, </w:t>
      </w:r>
      <w:smartTag w:uri="urn:schemas-microsoft-com:office:smarttags" w:element="PersonName">
        <w:smartTagPr>
          <w:attr w:name="ProductID" w:val="La DENF"/>
        </w:smartTagPr>
        <w:r w:rsidR="00291171">
          <w:rPr>
            <w:rFonts w:ascii="Cambria" w:hAnsi="Cambria"/>
            <w:sz w:val="24"/>
            <w:szCs w:val="24"/>
          </w:rPr>
          <w:t>l</w:t>
        </w:r>
        <w:r w:rsidR="00954E39" w:rsidRPr="0038290D">
          <w:rPr>
            <w:rFonts w:ascii="Cambria" w:hAnsi="Cambria"/>
            <w:sz w:val="24"/>
            <w:szCs w:val="24"/>
          </w:rPr>
          <w:t xml:space="preserve">a </w:t>
        </w:r>
        <w:r w:rsidR="00954E39">
          <w:rPr>
            <w:rFonts w:ascii="Cambria" w:hAnsi="Cambria"/>
            <w:sz w:val="24"/>
            <w:szCs w:val="24"/>
          </w:rPr>
          <w:t>D</w:t>
        </w:r>
        <w:r w:rsidR="00954E39" w:rsidRPr="0038290D">
          <w:rPr>
            <w:rFonts w:ascii="Cambria" w:hAnsi="Cambria"/>
            <w:sz w:val="24"/>
            <w:szCs w:val="24"/>
          </w:rPr>
          <w:t>ENF</w:t>
        </w:r>
      </w:smartTag>
      <w:r w:rsidR="00291171">
        <w:rPr>
          <w:rFonts w:ascii="Cambria" w:hAnsi="Cambria"/>
          <w:sz w:val="24"/>
          <w:szCs w:val="24"/>
        </w:rPr>
        <w:t xml:space="preserve"> </w:t>
      </w:r>
      <w:r w:rsidR="006C16BC">
        <w:rPr>
          <w:rFonts w:ascii="Cambria" w:hAnsi="Cambria"/>
          <w:sz w:val="24"/>
          <w:szCs w:val="24"/>
        </w:rPr>
        <w:t xml:space="preserve">a </w:t>
      </w:r>
      <w:r w:rsidR="001F431D">
        <w:rPr>
          <w:rFonts w:ascii="Cambria" w:hAnsi="Cambria"/>
          <w:sz w:val="24"/>
          <w:szCs w:val="24"/>
        </w:rPr>
        <w:t xml:space="preserve">les mêmes </w:t>
      </w:r>
      <w:r w:rsidR="00B84867">
        <w:rPr>
          <w:rFonts w:ascii="Cambria" w:hAnsi="Cambria"/>
          <w:sz w:val="24"/>
          <w:szCs w:val="24"/>
        </w:rPr>
        <w:t xml:space="preserve">objectifs, à savoir, </w:t>
      </w:r>
      <w:r w:rsidR="006C16BC">
        <w:rPr>
          <w:rFonts w:ascii="Cambria" w:hAnsi="Cambria"/>
          <w:sz w:val="24"/>
          <w:szCs w:val="24"/>
        </w:rPr>
        <w:t>la</w:t>
      </w:r>
      <w:r w:rsidR="00954E39" w:rsidRPr="0038290D">
        <w:rPr>
          <w:rFonts w:ascii="Cambria" w:hAnsi="Cambria"/>
          <w:sz w:val="24"/>
          <w:szCs w:val="24"/>
        </w:rPr>
        <w:t xml:space="preserve"> </w:t>
      </w:r>
      <w:r w:rsidR="006C16BC">
        <w:rPr>
          <w:rFonts w:ascii="Cambria" w:hAnsi="Cambria"/>
          <w:sz w:val="24"/>
          <w:szCs w:val="24"/>
        </w:rPr>
        <w:t xml:space="preserve">consolidation </w:t>
      </w:r>
      <w:r w:rsidR="00B84867">
        <w:rPr>
          <w:rFonts w:ascii="Cambria" w:hAnsi="Cambria"/>
          <w:sz w:val="24"/>
          <w:szCs w:val="24"/>
        </w:rPr>
        <w:t xml:space="preserve">et le renforcement </w:t>
      </w:r>
      <w:r w:rsidR="00954E39" w:rsidRPr="0038290D">
        <w:rPr>
          <w:rFonts w:ascii="Cambria" w:hAnsi="Cambria"/>
          <w:sz w:val="24"/>
          <w:szCs w:val="24"/>
        </w:rPr>
        <w:t>des capacités des acteurs clefs de l’ENF (</w:t>
      </w:r>
      <w:r w:rsidR="00976356">
        <w:rPr>
          <w:rFonts w:ascii="Cambria" w:hAnsi="Cambria"/>
          <w:sz w:val="24"/>
          <w:szCs w:val="24"/>
        </w:rPr>
        <w:t xml:space="preserve">cadres au niveau régional et local </w:t>
      </w:r>
      <w:r w:rsidR="00954E39" w:rsidRPr="0038290D">
        <w:rPr>
          <w:rFonts w:ascii="Cambria" w:hAnsi="Cambria"/>
          <w:sz w:val="24"/>
          <w:szCs w:val="24"/>
        </w:rPr>
        <w:t xml:space="preserve">et ONG) en matière de gestion, </w:t>
      </w:r>
      <w:r w:rsidR="006C16BC">
        <w:rPr>
          <w:rFonts w:ascii="Cambria" w:hAnsi="Cambria"/>
          <w:sz w:val="24"/>
          <w:szCs w:val="24"/>
        </w:rPr>
        <w:t>d’amélioration des programmes pour</w:t>
      </w:r>
      <w:r w:rsidR="00954E39" w:rsidRPr="0038290D">
        <w:rPr>
          <w:rFonts w:ascii="Cambria" w:hAnsi="Cambria"/>
          <w:sz w:val="24"/>
          <w:szCs w:val="24"/>
        </w:rPr>
        <w:t xml:space="preserve"> </w:t>
      </w:r>
      <w:r w:rsidR="006C16BC">
        <w:rPr>
          <w:rFonts w:ascii="Cambria" w:hAnsi="Cambria"/>
          <w:sz w:val="24"/>
          <w:szCs w:val="24"/>
        </w:rPr>
        <w:t>l</w:t>
      </w:r>
      <w:r w:rsidR="00954E39" w:rsidRPr="0038290D">
        <w:rPr>
          <w:rFonts w:ascii="Cambria" w:hAnsi="Cambria"/>
          <w:sz w:val="24"/>
          <w:szCs w:val="24"/>
        </w:rPr>
        <w:t>’insertion des</w:t>
      </w:r>
      <w:r w:rsidR="00954E39" w:rsidRPr="00E3616A">
        <w:rPr>
          <w:rFonts w:ascii="Cambria" w:hAnsi="Cambria"/>
          <w:sz w:val="24"/>
          <w:szCs w:val="24"/>
        </w:rPr>
        <w:t xml:space="preserve"> bénéficiaires</w:t>
      </w:r>
      <w:r w:rsidR="001F431D">
        <w:rPr>
          <w:rFonts w:ascii="Cambria" w:hAnsi="Cambria"/>
          <w:sz w:val="24"/>
          <w:szCs w:val="24"/>
        </w:rPr>
        <w:t>.</w:t>
      </w:r>
    </w:p>
    <w:p w:rsidR="00954E39" w:rsidRDefault="00976356" w:rsidP="001F43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but </w:t>
      </w:r>
      <w:r w:rsidR="00291171">
        <w:rPr>
          <w:rFonts w:ascii="Cambria" w:hAnsi="Cambria"/>
          <w:sz w:val="24"/>
          <w:szCs w:val="24"/>
        </w:rPr>
        <w:t xml:space="preserve">ultime </w:t>
      </w:r>
      <w:r>
        <w:rPr>
          <w:rFonts w:ascii="Cambria" w:hAnsi="Cambria"/>
          <w:sz w:val="24"/>
          <w:szCs w:val="24"/>
        </w:rPr>
        <w:t xml:space="preserve">est </w:t>
      </w:r>
      <w:r w:rsidR="00926B79">
        <w:rPr>
          <w:rFonts w:ascii="Cambria" w:hAnsi="Cambria"/>
          <w:sz w:val="24"/>
          <w:szCs w:val="24"/>
        </w:rPr>
        <w:t xml:space="preserve">d'assurer </w:t>
      </w:r>
      <w:r w:rsidR="00B84867">
        <w:rPr>
          <w:rFonts w:ascii="Cambria" w:hAnsi="Cambria"/>
          <w:sz w:val="24"/>
          <w:szCs w:val="24"/>
        </w:rPr>
        <w:t>aux enfants non scolarisés,</w:t>
      </w:r>
      <w:r w:rsidR="001F431D">
        <w:rPr>
          <w:rFonts w:ascii="Cambria" w:hAnsi="Cambria"/>
          <w:sz w:val="24"/>
          <w:szCs w:val="24"/>
        </w:rPr>
        <w:t xml:space="preserve"> </w:t>
      </w:r>
      <w:r w:rsidR="001F431D" w:rsidRPr="0038290D">
        <w:rPr>
          <w:rFonts w:ascii="Cambria" w:hAnsi="Cambria"/>
          <w:sz w:val="24"/>
          <w:szCs w:val="24"/>
        </w:rPr>
        <w:t xml:space="preserve">notamment </w:t>
      </w:r>
      <w:r w:rsidR="001F431D">
        <w:rPr>
          <w:rFonts w:ascii="Cambria" w:hAnsi="Cambria"/>
          <w:sz w:val="24"/>
          <w:szCs w:val="24"/>
        </w:rPr>
        <w:t>l</w:t>
      </w:r>
      <w:r w:rsidR="001F431D" w:rsidRPr="0038290D">
        <w:rPr>
          <w:rFonts w:ascii="Cambria" w:hAnsi="Cambria"/>
          <w:sz w:val="24"/>
          <w:szCs w:val="24"/>
        </w:rPr>
        <w:t>es enfants et adolescents défavorisés</w:t>
      </w:r>
      <w:r w:rsidR="001F431D">
        <w:rPr>
          <w:rFonts w:ascii="Cambria" w:hAnsi="Cambria"/>
          <w:sz w:val="24"/>
          <w:szCs w:val="24"/>
        </w:rPr>
        <w:t xml:space="preserve">, </w:t>
      </w:r>
      <w:r w:rsidR="00926B79" w:rsidRPr="00CC5FDA">
        <w:rPr>
          <w:rFonts w:ascii="Cambria" w:hAnsi="Cambria"/>
          <w:b/>
          <w:bCs/>
          <w:sz w:val="24"/>
          <w:szCs w:val="24"/>
        </w:rPr>
        <w:t>l’accès</w:t>
      </w:r>
      <w:r w:rsidR="00926B79" w:rsidRPr="0038290D">
        <w:rPr>
          <w:rFonts w:ascii="Cambria" w:hAnsi="Cambria"/>
          <w:sz w:val="24"/>
          <w:szCs w:val="24"/>
        </w:rPr>
        <w:t xml:space="preserve"> à une éducation de base équitable et de qualité</w:t>
      </w:r>
      <w:r w:rsidR="001F431D">
        <w:rPr>
          <w:rFonts w:ascii="Cambria" w:hAnsi="Cambria"/>
          <w:sz w:val="24"/>
          <w:szCs w:val="24"/>
        </w:rPr>
        <w:t xml:space="preserve"> tout en permettant </w:t>
      </w:r>
      <w:r w:rsidR="00926B79">
        <w:rPr>
          <w:rFonts w:ascii="Cambria" w:hAnsi="Cambria"/>
          <w:sz w:val="24"/>
          <w:szCs w:val="24"/>
        </w:rPr>
        <w:t>l</w:t>
      </w:r>
      <w:r w:rsidR="00CC5FDA">
        <w:rPr>
          <w:rFonts w:ascii="Cambria" w:hAnsi="Cambria"/>
          <w:sz w:val="24"/>
          <w:szCs w:val="24"/>
        </w:rPr>
        <w:t xml:space="preserve">eur </w:t>
      </w:r>
      <w:r w:rsidR="00926B79" w:rsidRPr="00CC5FDA">
        <w:rPr>
          <w:rFonts w:ascii="Cambria" w:hAnsi="Cambria"/>
          <w:b/>
          <w:bCs/>
          <w:sz w:val="24"/>
          <w:szCs w:val="24"/>
        </w:rPr>
        <w:t>rétention</w:t>
      </w:r>
      <w:r w:rsidR="00E010E4">
        <w:rPr>
          <w:rFonts w:ascii="Cambria" w:hAnsi="Cambria"/>
          <w:sz w:val="24"/>
          <w:szCs w:val="24"/>
        </w:rPr>
        <w:t xml:space="preserve"> </w:t>
      </w:r>
      <w:r w:rsidR="00CC5FDA">
        <w:rPr>
          <w:rFonts w:ascii="Cambria" w:hAnsi="Cambria"/>
          <w:sz w:val="24"/>
          <w:szCs w:val="24"/>
        </w:rPr>
        <w:t xml:space="preserve">et leur </w:t>
      </w:r>
      <w:r w:rsidR="00CC5FDA" w:rsidRPr="00CC5FDA">
        <w:rPr>
          <w:rFonts w:ascii="Cambria" w:hAnsi="Cambria"/>
          <w:b/>
          <w:bCs/>
          <w:sz w:val="24"/>
          <w:szCs w:val="24"/>
        </w:rPr>
        <w:t>insertion</w:t>
      </w:r>
      <w:r w:rsidR="00E010E4">
        <w:rPr>
          <w:rFonts w:ascii="Cambria" w:hAnsi="Cambria"/>
          <w:sz w:val="24"/>
          <w:szCs w:val="24"/>
        </w:rPr>
        <w:t>.</w:t>
      </w:r>
    </w:p>
    <w:p w:rsidR="00285402" w:rsidRPr="0038290D" w:rsidRDefault="00285402" w:rsidP="00285402">
      <w:pPr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</w:t>
      </w:r>
      <w:r w:rsidR="007D01D0">
        <w:rPr>
          <w:rFonts w:ascii="Cambria" w:hAnsi="Cambria"/>
          <w:b/>
          <w:bCs/>
          <w:sz w:val="24"/>
          <w:szCs w:val="24"/>
        </w:rPr>
        <w:t>lan d’action (2013-2014</w:t>
      </w:r>
      <w:r w:rsidRPr="0038290D">
        <w:rPr>
          <w:rFonts w:ascii="Cambria" w:hAnsi="Cambria"/>
          <w:b/>
          <w:bCs/>
          <w:sz w:val="24"/>
          <w:szCs w:val="24"/>
        </w:rPr>
        <w:t>)</w:t>
      </w:r>
    </w:p>
    <w:p w:rsidR="007D01D0" w:rsidRDefault="00285402" w:rsidP="00352A0D">
      <w:pPr>
        <w:jc w:val="both"/>
        <w:rPr>
          <w:rFonts w:ascii="Cambria" w:hAnsi="Cambria"/>
          <w:sz w:val="24"/>
          <w:szCs w:val="24"/>
        </w:rPr>
      </w:pPr>
      <w:r w:rsidRPr="00E3616A">
        <w:rPr>
          <w:rFonts w:ascii="Cambria" w:hAnsi="Cambria"/>
          <w:sz w:val="24"/>
          <w:szCs w:val="24"/>
        </w:rPr>
        <w:t>Le plan d’action en matière de coopération DENF UNICEF pour 201</w:t>
      </w:r>
      <w:r w:rsidR="007D01D0">
        <w:rPr>
          <w:rFonts w:ascii="Cambria" w:hAnsi="Cambria"/>
          <w:sz w:val="24"/>
          <w:szCs w:val="24"/>
        </w:rPr>
        <w:t>3</w:t>
      </w:r>
      <w:r w:rsidRPr="00E3616A">
        <w:rPr>
          <w:rFonts w:ascii="Cambria" w:hAnsi="Cambria"/>
          <w:sz w:val="24"/>
          <w:szCs w:val="24"/>
        </w:rPr>
        <w:t>-201</w:t>
      </w:r>
      <w:r w:rsidR="007D01D0">
        <w:rPr>
          <w:rFonts w:ascii="Cambria" w:hAnsi="Cambria"/>
          <w:sz w:val="24"/>
          <w:szCs w:val="24"/>
        </w:rPr>
        <w:t>4</w:t>
      </w:r>
      <w:r w:rsidRPr="00E3616A">
        <w:rPr>
          <w:rFonts w:ascii="Cambria" w:hAnsi="Cambria"/>
          <w:sz w:val="24"/>
          <w:szCs w:val="24"/>
        </w:rPr>
        <w:t xml:space="preserve"> sera développé autour des axes d’intervention </w:t>
      </w:r>
      <w:r w:rsidR="002F0DBB">
        <w:rPr>
          <w:rFonts w:ascii="Cambria" w:hAnsi="Cambria"/>
          <w:sz w:val="24"/>
          <w:szCs w:val="24"/>
        </w:rPr>
        <w:t xml:space="preserve">figurant dans le tableau </w:t>
      </w:r>
      <w:r w:rsidRPr="00E3616A">
        <w:rPr>
          <w:rFonts w:ascii="Cambria" w:hAnsi="Cambria"/>
          <w:sz w:val="24"/>
          <w:szCs w:val="24"/>
        </w:rPr>
        <w:t>suivant</w:t>
      </w:r>
      <w:r w:rsidR="00B84867">
        <w:rPr>
          <w:rFonts w:ascii="Cambria" w:hAnsi="Cambria"/>
          <w:sz w:val="24"/>
          <w:szCs w:val="24"/>
        </w:rPr>
        <w:t xml:space="preserve"> : </w:t>
      </w:r>
    </w:p>
    <w:p w:rsidR="007D01D0" w:rsidRDefault="007D01D0" w:rsidP="007D01D0">
      <w:pPr>
        <w:jc w:val="both"/>
        <w:rPr>
          <w:rFonts w:ascii="Cambria" w:hAnsi="Cambria"/>
          <w:sz w:val="24"/>
          <w:szCs w:val="24"/>
        </w:rPr>
        <w:sectPr w:rsidR="007D01D0" w:rsidSect="002F0DBB">
          <w:headerReference w:type="default" r:id="rId8"/>
          <w:pgSz w:w="11906" w:h="16838"/>
          <w:pgMar w:top="1418" w:right="849" w:bottom="1418" w:left="1417" w:header="708" w:footer="708" w:gutter="0"/>
          <w:cols w:space="708"/>
          <w:docGrid w:linePitch="360"/>
        </w:sectPr>
      </w:pPr>
    </w:p>
    <w:tbl>
      <w:tblPr>
        <w:tblW w:w="15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2127"/>
        <w:gridCol w:w="2239"/>
        <w:gridCol w:w="3147"/>
        <w:gridCol w:w="5954"/>
      </w:tblGrid>
      <w:tr w:rsidR="001B7203" w:rsidRPr="00285402" w:rsidTr="001B2168">
        <w:trPr>
          <w:trHeight w:hRule="exact" w:val="354"/>
          <w:tblHeader/>
        </w:trPr>
        <w:tc>
          <w:tcPr>
            <w:tcW w:w="1588" w:type="dxa"/>
            <w:vMerge w:val="restart"/>
          </w:tcPr>
          <w:p w:rsidR="00285402" w:rsidRPr="00285402" w:rsidRDefault="00285402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85402">
              <w:rPr>
                <w:rFonts w:ascii="Cambria" w:hAnsi="Cambria"/>
                <w:sz w:val="24"/>
                <w:szCs w:val="24"/>
              </w:rPr>
              <w:lastRenderedPageBreak/>
              <w:t>UNDAF</w:t>
            </w:r>
          </w:p>
        </w:tc>
        <w:tc>
          <w:tcPr>
            <w:tcW w:w="2127" w:type="dxa"/>
            <w:vMerge w:val="restart"/>
          </w:tcPr>
          <w:p w:rsidR="00285402" w:rsidRPr="00285402" w:rsidRDefault="00285402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85402">
              <w:rPr>
                <w:rFonts w:ascii="Cambria" w:hAnsi="Cambria"/>
                <w:sz w:val="24"/>
                <w:szCs w:val="24"/>
              </w:rPr>
              <w:t>UNICEF</w:t>
            </w:r>
          </w:p>
        </w:tc>
        <w:tc>
          <w:tcPr>
            <w:tcW w:w="11340" w:type="dxa"/>
            <w:gridSpan w:val="3"/>
          </w:tcPr>
          <w:p w:rsidR="00285402" w:rsidRPr="00285402" w:rsidRDefault="00AB3C87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DENF</w:t>
            </w:r>
          </w:p>
        </w:tc>
      </w:tr>
      <w:tr w:rsidR="00285402" w:rsidRPr="00285402" w:rsidTr="001B2168">
        <w:trPr>
          <w:trHeight w:hRule="exact" w:val="275"/>
          <w:tblHeader/>
        </w:trPr>
        <w:tc>
          <w:tcPr>
            <w:tcW w:w="1588" w:type="dxa"/>
            <w:vMerge/>
          </w:tcPr>
          <w:p w:rsidR="00285402" w:rsidRPr="00285402" w:rsidRDefault="00285402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5402" w:rsidRPr="00285402" w:rsidRDefault="00285402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9" w:type="dxa"/>
          </w:tcPr>
          <w:p w:rsidR="00285402" w:rsidRPr="00285402" w:rsidRDefault="00285402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85402">
              <w:rPr>
                <w:rFonts w:ascii="Cambria" w:hAnsi="Cambria"/>
                <w:sz w:val="24"/>
                <w:szCs w:val="24"/>
              </w:rPr>
              <w:t>Axes</w:t>
            </w:r>
          </w:p>
        </w:tc>
        <w:tc>
          <w:tcPr>
            <w:tcW w:w="3147" w:type="dxa"/>
          </w:tcPr>
          <w:p w:rsidR="00285402" w:rsidRPr="00285402" w:rsidRDefault="00375D3B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85402">
              <w:rPr>
                <w:rFonts w:ascii="Cambria" w:hAnsi="Cambria"/>
                <w:sz w:val="24"/>
                <w:szCs w:val="24"/>
              </w:rPr>
              <w:t>A</w:t>
            </w:r>
            <w:r w:rsidR="00285402" w:rsidRPr="00285402">
              <w:rPr>
                <w:rFonts w:ascii="Cambria" w:hAnsi="Cambria"/>
                <w:sz w:val="24"/>
                <w:szCs w:val="24"/>
              </w:rPr>
              <w:t>ctions</w:t>
            </w:r>
          </w:p>
        </w:tc>
        <w:tc>
          <w:tcPr>
            <w:tcW w:w="5954" w:type="dxa"/>
          </w:tcPr>
          <w:p w:rsidR="00285402" w:rsidRPr="00285402" w:rsidRDefault="00375D3B" w:rsidP="002B36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85402">
              <w:rPr>
                <w:rFonts w:ascii="Cambria" w:hAnsi="Cambria"/>
                <w:sz w:val="24"/>
                <w:szCs w:val="24"/>
              </w:rPr>
              <w:t>A</w:t>
            </w:r>
            <w:r w:rsidR="00285402" w:rsidRPr="00285402">
              <w:rPr>
                <w:rFonts w:ascii="Cambria" w:hAnsi="Cambria"/>
                <w:sz w:val="24"/>
                <w:szCs w:val="24"/>
              </w:rPr>
              <w:t>ctivités</w:t>
            </w:r>
          </w:p>
        </w:tc>
      </w:tr>
      <w:tr w:rsidR="00F50573" w:rsidRPr="00285402" w:rsidTr="001B2168">
        <w:trPr>
          <w:trHeight w:val="2682"/>
        </w:trPr>
        <w:tc>
          <w:tcPr>
            <w:tcW w:w="1588" w:type="dxa"/>
            <w:vMerge w:val="restart"/>
            <w:vAlign w:val="center"/>
          </w:tcPr>
          <w:p w:rsidR="00F50573" w:rsidRPr="009E3998" w:rsidRDefault="00F50573" w:rsidP="00F50573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</w:rPr>
              <w:t xml:space="preserve">Le renforcement de la qualité de </w:t>
            </w:r>
            <w:r>
              <w:rPr>
                <w:rFonts w:ascii="Cambria" w:hAnsi="Cambria"/>
                <w:sz w:val="24"/>
                <w:szCs w:val="24"/>
              </w:rPr>
              <w:t>l’éducation et de la formation</w:t>
            </w:r>
          </w:p>
        </w:tc>
        <w:tc>
          <w:tcPr>
            <w:tcW w:w="2127" w:type="dxa"/>
            <w:vMerge w:val="restart"/>
            <w:vAlign w:val="center"/>
          </w:tcPr>
          <w:p w:rsidR="00F50573" w:rsidRPr="009E3998" w:rsidRDefault="00352A0D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 accès</w:t>
            </w:r>
            <w:r w:rsidR="00F50573" w:rsidRPr="009E3998">
              <w:rPr>
                <w:rFonts w:ascii="Cambria" w:hAnsi="Cambria"/>
                <w:sz w:val="24"/>
                <w:szCs w:val="24"/>
              </w:rPr>
              <w:t xml:space="preserve"> rétention des vulnérables</w:t>
            </w:r>
          </w:p>
          <w:p w:rsidR="00F50573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50573" w:rsidRPr="009E3998" w:rsidRDefault="00352A0D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(ii) </w:t>
            </w:r>
            <w:r w:rsidR="00F50573" w:rsidRPr="009E3998">
              <w:rPr>
                <w:rFonts w:ascii="Cambria" w:hAnsi="Cambria"/>
                <w:sz w:val="24"/>
                <w:szCs w:val="24"/>
              </w:rPr>
              <w:t>qualité de l’éducation</w:t>
            </w:r>
          </w:p>
          <w:p w:rsidR="00F50573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50573" w:rsidRPr="009E3998" w:rsidRDefault="00F50573" w:rsidP="00352A0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</w:rPr>
              <w:t xml:space="preserve">(iii) </w:t>
            </w:r>
            <w:r w:rsidRPr="009E3998">
              <w:rPr>
                <w:rFonts w:ascii="Cambria" w:hAnsi="Cambria"/>
                <w:sz w:val="24"/>
                <w:szCs w:val="24"/>
                <w:lang w:val="fr-MA"/>
              </w:rPr>
              <w:t>gouvernance</w:t>
            </w:r>
          </w:p>
          <w:p w:rsidR="00F50573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fr-MA"/>
              </w:rPr>
            </w:pPr>
          </w:p>
          <w:p w:rsidR="00F50573" w:rsidRPr="009E3998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  <w:lang w:val="fr-MA"/>
              </w:rPr>
              <w:t xml:space="preserve">(iv) </w:t>
            </w:r>
            <w:r w:rsidRPr="009E3998">
              <w:rPr>
                <w:rFonts w:ascii="Cambria" w:hAnsi="Cambria"/>
                <w:sz w:val="24"/>
                <w:szCs w:val="24"/>
              </w:rPr>
              <w:t>développement des adolescents</w:t>
            </w:r>
          </w:p>
        </w:tc>
        <w:tc>
          <w:tcPr>
            <w:tcW w:w="2239" w:type="dxa"/>
            <w:vAlign w:val="center"/>
          </w:tcPr>
          <w:p w:rsidR="00F50573" w:rsidRPr="009E3998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</w:rPr>
              <w:t>Amélioration de la rétention des élèves particulièrement les plus vulnérables</w:t>
            </w:r>
          </w:p>
        </w:tc>
        <w:tc>
          <w:tcPr>
            <w:tcW w:w="3147" w:type="dxa"/>
            <w:vAlign w:val="center"/>
          </w:tcPr>
          <w:p w:rsidR="00F50573" w:rsidRPr="009E3998" w:rsidRDefault="00F50573" w:rsidP="00F505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Pr="009E3998">
              <w:rPr>
                <w:rFonts w:ascii="Cambria" w:hAnsi="Cambria"/>
                <w:sz w:val="24"/>
                <w:szCs w:val="24"/>
              </w:rPr>
              <w:t xml:space="preserve">uite de l'étude </w:t>
            </w:r>
            <w:r>
              <w:rPr>
                <w:rFonts w:ascii="Cambria" w:hAnsi="Cambria"/>
                <w:sz w:val="24"/>
                <w:szCs w:val="24"/>
              </w:rPr>
              <w:t xml:space="preserve">de cas : </w:t>
            </w:r>
            <w:r w:rsidRPr="009E3998">
              <w:rPr>
                <w:rFonts w:ascii="Cambria" w:hAnsi="Cambria"/>
                <w:sz w:val="24"/>
                <w:szCs w:val="24"/>
              </w:rPr>
              <w:t xml:space="preserve">suivi </w:t>
            </w:r>
            <w:r>
              <w:rPr>
                <w:rFonts w:ascii="Cambria" w:hAnsi="Cambria"/>
                <w:sz w:val="24"/>
                <w:szCs w:val="24"/>
              </w:rPr>
              <w:t>de l’étude sur la lutte contre le décrochage scolaire et le redoublement</w:t>
            </w:r>
          </w:p>
        </w:tc>
        <w:tc>
          <w:tcPr>
            <w:tcW w:w="5954" w:type="dxa"/>
            <w:vAlign w:val="center"/>
          </w:tcPr>
          <w:p w:rsidR="00F50573" w:rsidRPr="00451B3E" w:rsidRDefault="00F50573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3E">
              <w:rPr>
                <w:rFonts w:ascii="Times New Roman" w:hAnsi="Times New Roman" w:cs="Times New Roman"/>
                <w:sz w:val="24"/>
                <w:szCs w:val="24"/>
              </w:rPr>
              <w:t xml:space="preserve">Élaboration d’un module de 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Pr="00451B3E">
              <w:rPr>
                <w:rFonts w:ascii="Times New Roman" w:hAnsi="Times New Roman" w:cs="Times New Roman"/>
                <w:sz w:val="24"/>
                <w:szCs w:val="24"/>
              </w:rPr>
              <w:t xml:space="preserve"> les stratégies et les pratique visant à prévenir le décrochage scolaire ;</w:t>
            </w:r>
          </w:p>
          <w:p w:rsidR="00F50573" w:rsidRPr="00451B3E" w:rsidRDefault="00F50573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3E">
              <w:rPr>
                <w:rFonts w:ascii="Times New Roman" w:hAnsi="Times New Roman" w:cs="Times New Roman"/>
                <w:sz w:val="24"/>
                <w:szCs w:val="24"/>
              </w:rPr>
              <w:t>Élaboration d’un module de formation sur la méthodologie d’accompagnement des intervenants, de sensibilisation et de mobilisation des acteurs de l’école et de son environnement ;</w:t>
            </w:r>
          </w:p>
          <w:p w:rsidR="00F50573" w:rsidRDefault="00F50573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</w:rPr>
            </w:pPr>
            <w:r w:rsidRPr="00BF64B5">
              <w:rPr>
                <w:rFonts w:ascii="Times New Roman" w:hAnsi="Times New Roman" w:cs="Times New Roman"/>
              </w:rPr>
              <w:t xml:space="preserve">Formation </w:t>
            </w:r>
            <w:r>
              <w:rPr>
                <w:rFonts w:ascii="Times New Roman" w:hAnsi="Times New Roman" w:cs="Times New Roman"/>
              </w:rPr>
              <w:t xml:space="preserve">et accompagnement </w:t>
            </w:r>
            <w:r w:rsidRPr="00BF64B5">
              <w:rPr>
                <w:rFonts w:ascii="Times New Roman" w:hAnsi="Times New Roman" w:cs="Times New Roman"/>
              </w:rPr>
              <w:t xml:space="preserve">des </w:t>
            </w:r>
            <w:r>
              <w:rPr>
                <w:rFonts w:ascii="Times New Roman" w:hAnsi="Times New Roman" w:cs="Times New Roman"/>
              </w:rPr>
              <w:t>chefs de service, des inspecteurs et des membres d’ONG sur les outils et les bonnes pratiques ;</w:t>
            </w:r>
          </w:p>
          <w:p w:rsidR="00F50573" w:rsidRPr="00BF64B5" w:rsidRDefault="00F50573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</w:rPr>
            </w:pPr>
            <w:r w:rsidRPr="00BF64B5">
              <w:rPr>
                <w:rFonts w:ascii="Times New Roman" w:hAnsi="Times New Roman" w:cs="Times New Roman"/>
              </w:rPr>
              <w:t xml:space="preserve">Formation et </w:t>
            </w:r>
            <w:r>
              <w:rPr>
                <w:rFonts w:ascii="Times New Roman" w:hAnsi="Times New Roman" w:cs="Times New Roman"/>
              </w:rPr>
              <w:t>accompagnement d</w:t>
            </w:r>
            <w:r w:rsidRPr="00BF64B5">
              <w:rPr>
                <w:rFonts w:ascii="Times New Roman" w:hAnsi="Times New Roman" w:cs="Times New Roman"/>
              </w:rPr>
              <w:t>es établissements scolaires (membre des cellules de veille, enseignants, ONG</w:t>
            </w:r>
            <w:r>
              <w:rPr>
                <w:rFonts w:ascii="Times New Roman" w:hAnsi="Times New Roman" w:cs="Times New Roman"/>
              </w:rPr>
              <w:t>, collectivités locales, APTE..) dans la mise en œuvre des outils et des bonnes pratiques;</w:t>
            </w:r>
          </w:p>
          <w:p w:rsidR="00F50573" w:rsidRPr="00BF64B5" w:rsidRDefault="00F50573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</w:rPr>
            </w:pPr>
            <w:r w:rsidRPr="00BF64B5">
              <w:rPr>
                <w:rFonts w:ascii="Times New Roman" w:hAnsi="Times New Roman" w:cs="Times New Roman"/>
              </w:rPr>
              <w:t>Suivi de la mise en place du projet par la DENF – service régionaux et provinciaux / UNICEF</w:t>
            </w:r>
          </w:p>
          <w:p w:rsidR="00F50573" w:rsidRPr="00310880" w:rsidRDefault="00F50573" w:rsidP="00F50573">
            <w:pPr>
              <w:spacing w:after="0" w:line="240" w:lineRule="auto"/>
              <w:ind w:left="317" w:hanging="218"/>
              <w:rPr>
                <w:rFonts w:ascii="Cambria" w:hAnsi="Cambria"/>
              </w:rPr>
            </w:pPr>
          </w:p>
        </w:tc>
      </w:tr>
      <w:tr w:rsidR="004B5E69" w:rsidRPr="00285402" w:rsidTr="001B2168">
        <w:trPr>
          <w:trHeight w:hRule="exact" w:val="2698"/>
        </w:trPr>
        <w:tc>
          <w:tcPr>
            <w:tcW w:w="1588" w:type="dxa"/>
            <w:vMerge/>
          </w:tcPr>
          <w:p w:rsidR="004B5E69" w:rsidRPr="009E3998" w:rsidRDefault="004B5E69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E69" w:rsidRPr="009E3998" w:rsidRDefault="004B5E69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4B5E69" w:rsidRPr="009E3998" w:rsidRDefault="004B5E69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</w:rPr>
              <w:t>Amélioration de la qualité de l'ENF</w:t>
            </w:r>
          </w:p>
        </w:tc>
        <w:tc>
          <w:tcPr>
            <w:tcW w:w="3147" w:type="dxa"/>
            <w:vAlign w:val="center"/>
          </w:tcPr>
          <w:p w:rsidR="004B5E69" w:rsidRPr="007D01D0" w:rsidRDefault="000C1074" w:rsidP="000C1074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</w:rPr>
            </w:pPr>
            <w:r w:rsidRPr="007D01D0">
              <w:rPr>
                <w:rFonts w:ascii="Cambria" w:hAnsi="Cambria"/>
                <w:sz w:val="24"/>
                <w:szCs w:val="24"/>
              </w:rPr>
              <w:t>Opérationnalisation du référentiel de la qualité ENF avec inclusion du projet PPI comme dimension pédagogique</w:t>
            </w:r>
          </w:p>
        </w:tc>
        <w:tc>
          <w:tcPr>
            <w:tcW w:w="5954" w:type="dxa"/>
          </w:tcPr>
          <w:p w:rsidR="007426FE" w:rsidRPr="00F50573" w:rsidRDefault="007426FE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0C1074" w:rsidRPr="00F50573">
              <w:rPr>
                <w:rFonts w:ascii="Times New Roman" w:hAnsi="Times New Roman" w:cs="Times New Roman"/>
                <w:sz w:val="24"/>
                <w:szCs w:val="24"/>
              </w:rPr>
              <w:t>rmation des facilitateurs (membres des ONG) pour former et accompagner les associations dans la mise en place et le suivi de leur projet*(Avril 2014)</w:t>
            </w:r>
          </w:p>
          <w:p w:rsidR="007426FE" w:rsidRPr="00F50573" w:rsidRDefault="000C1074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Signature des conventions avec les </w:t>
            </w:r>
            <w:proofErr w:type="spellStart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ONGs</w:t>
            </w:r>
            <w:proofErr w:type="spellEnd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engagées dans le processus (</w:t>
            </w:r>
            <w:proofErr w:type="spellStart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Mai-juin</w:t>
            </w:r>
            <w:proofErr w:type="spellEnd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7426FE" w:rsidRPr="00F50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6FE" w:rsidRPr="00F50573" w:rsidRDefault="000C1074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Mise en place des projets par les ONG engagées dans le processus (Octobre 2014)</w:t>
            </w:r>
          </w:p>
          <w:p w:rsidR="004B5E69" w:rsidRPr="00F50573" w:rsidRDefault="000C1074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Suivi de la mise en place du projet par la DENF – service régionaux et provinciaux / UNICEF</w:t>
            </w:r>
          </w:p>
        </w:tc>
      </w:tr>
      <w:tr w:rsidR="000C1074" w:rsidRPr="00285402" w:rsidTr="001B2168">
        <w:trPr>
          <w:trHeight w:val="830"/>
        </w:trPr>
        <w:tc>
          <w:tcPr>
            <w:tcW w:w="1588" w:type="dxa"/>
            <w:vMerge/>
          </w:tcPr>
          <w:p w:rsidR="000C1074" w:rsidRPr="009E3998" w:rsidRDefault="000C1074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1074" w:rsidRPr="009E3998" w:rsidRDefault="000C1074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0C1074" w:rsidRPr="009E3998" w:rsidRDefault="000C1074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C1074" w:rsidRPr="009E3998" w:rsidRDefault="007D01D0" w:rsidP="00BB55ED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</w:rPr>
            </w:pPr>
            <w:r w:rsidRPr="00073B8F">
              <w:rPr>
                <w:rFonts w:ascii="Cambria" w:hAnsi="Cambria"/>
                <w:sz w:val="24"/>
                <w:szCs w:val="24"/>
              </w:rPr>
              <w:t>Élaboration</w:t>
            </w:r>
            <w:r w:rsidR="00BB55ED" w:rsidRPr="00073B8F">
              <w:rPr>
                <w:rFonts w:ascii="Cambria" w:hAnsi="Cambria"/>
                <w:sz w:val="24"/>
                <w:szCs w:val="24"/>
              </w:rPr>
              <w:t xml:space="preserve"> du dispositif pédagogique à mettre en place dans les centres socioéducatifs et de formation des animateurs</w:t>
            </w:r>
          </w:p>
        </w:tc>
        <w:tc>
          <w:tcPr>
            <w:tcW w:w="5954" w:type="dxa"/>
          </w:tcPr>
          <w:p w:rsidR="007426FE" w:rsidRPr="00F50573" w:rsidRDefault="007426FE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Rédaction des TDR</w:t>
            </w:r>
          </w:p>
          <w:p w:rsidR="00BB55ED" w:rsidRPr="00F50573" w:rsidRDefault="00BB55ED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Lancement d’</w:t>
            </w:r>
            <w:r w:rsidR="007426FE" w:rsidRPr="00F50573">
              <w:rPr>
                <w:rFonts w:ascii="Times New Roman" w:hAnsi="Times New Roman" w:cs="Times New Roman"/>
                <w:sz w:val="24"/>
                <w:szCs w:val="24"/>
              </w:rPr>
              <w:t>une consultation</w:t>
            </w:r>
          </w:p>
          <w:p w:rsidR="000C1074" w:rsidRPr="00F50573" w:rsidRDefault="000C1074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Benchmark international pour le développent du projet</w:t>
            </w:r>
            <w:r w:rsidR="00BB55ED"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55ED" w:rsidRPr="00F505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centres ENF</w:t>
            </w:r>
          </w:p>
        </w:tc>
      </w:tr>
      <w:tr w:rsidR="004B5E69" w:rsidRPr="00285402" w:rsidTr="009412CA">
        <w:trPr>
          <w:trHeight w:hRule="exact" w:val="2702"/>
        </w:trPr>
        <w:tc>
          <w:tcPr>
            <w:tcW w:w="1588" w:type="dxa"/>
            <w:vMerge/>
          </w:tcPr>
          <w:p w:rsidR="004B5E69" w:rsidRPr="009E3998" w:rsidRDefault="004B5E69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E69" w:rsidRPr="009E3998" w:rsidRDefault="004B5E69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4B5E69" w:rsidRPr="009E3998" w:rsidRDefault="004B5E69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E3998">
              <w:rPr>
                <w:rFonts w:ascii="Cambria" w:hAnsi="Cambria"/>
                <w:sz w:val="24"/>
                <w:szCs w:val="24"/>
              </w:rPr>
              <w:t>Insertion et suivi des insérés</w:t>
            </w:r>
          </w:p>
        </w:tc>
        <w:tc>
          <w:tcPr>
            <w:tcW w:w="3147" w:type="dxa"/>
            <w:vAlign w:val="center"/>
          </w:tcPr>
          <w:p w:rsidR="004B5E69" w:rsidRPr="009E3998" w:rsidRDefault="00BB55ED" w:rsidP="000F0974">
            <w:pPr>
              <w:pStyle w:val="Paragraphedeliste"/>
              <w:spacing w:after="0" w:line="240" w:lineRule="auto"/>
              <w:ind w:left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956964">
              <w:rPr>
                <w:rFonts w:ascii="Cambria" w:hAnsi="Cambria"/>
                <w:sz w:val="24"/>
                <w:szCs w:val="24"/>
              </w:rPr>
              <w:t>M</w:t>
            </w:r>
            <w:r w:rsidR="000F0974" w:rsidRPr="00956964">
              <w:rPr>
                <w:rFonts w:ascii="Cambria" w:hAnsi="Cambria"/>
                <w:sz w:val="24"/>
                <w:szCs w:val="24"/>
              </w:rPr>
              <w:t xml:space="preserve">ise en </w:t>
            </w:r>
            <w:r w:rsidRPr="00956964">
              <w:rPr>
                <w:rFonts w:ascii="Cambria" w:hAnsi="Cambria"/>
                <w:sz w:val="24"/>
                <w:szCs w:val="24"/>
              </w:rPr>
              <w:t>œuvre la stratégie de développement du projet personnel de l’élève au niveau des centres de l’ENF</w:t>
            </w:r>
          </w:p>
        </w:tc>
        <w:tc>
          <w:tcPr>
            <w:tcW w:w="5954" w:type="dxa"/>
          </w:tcPr>
          <w:p w:rsidR="00BB55ED" w:rsidRPr="00F50573" w:rsidRDefault="00BB55ED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Atelier de partage de la stratégie au niveau central (5 ONG/AREF) (30</w:t>
            </w:r>
            <w:r w:rsidR="00F5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Per/2 Jours)</w:t>
            </w:r>
          </w:p>
          <w:p w:rsidR="00BB55ED" w:rsidRPr="00F50573" w:rsidRDefault="00BB55ED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Appui au montage de projet intégrant le PPI : formation des animateurs (consultant + ateliers de formation au niveau régional (60 Per/3 Jours)</w:t>
            </w:r>
          </w:p>
          <w:p w:rsidR="000F0974" w:rsidRPr="00F50573" w:rsidRDefault="00BB55ED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Mise en œuvre de projets d’intégration du PPI par les </w:t>
            </w:r>
            <w:proofErr w:type="spellStart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ONGs</w:t>
            </w:r>
            <w:proofErr w:type="spellEnd"/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«engagées dans la conduite du projet»</w:t>
            </w:r>
          </w:p>
          <w:p w:rsidR="004B5E69" w:rsidRPr="00F50573" w:rsidRDefault="00BB55ED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Atelier de restitution au niveau d’une AREF (30 Per/2 Jours)</w:t>
            </w:r>
          </w:p>
        </w:tc>
      </w:tr>
      <w:tr w:rsidR="004B5E69" w:rsidRPr="00285402" w:rsidTr="001B2168">
        <w:trPr>
          <w:trHeight w:hRule="exact" w:val="1426"/>
        </w:trPr>
        <w:tc>
          <w:tcPr>
            <w:tcW w:w="1588" w:type="dxa"/>
            <w:vMerge/>
          </w:tcPr>
          <w:p w:rsidR="004B5E69" w:rsidRPr="00285402" w:rsidRDefault="004B5E69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4B5E69" w:rsidRPr="001B7203" w:rsidRDefault="004B5E69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4B5E69" w:rsidRPr="00D540DF" w:rsidRDefault="004B5E69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540DF">
              <w:rPr>
                <w:rFonts w:ascii="Cambria" w:hAnsi="Cambria"/>
                <w:sz w:val="24"/>
                <w:szCs w:val="24"/>
              </w:rPr>
              <w:t>Plaidoyer</w:t>
            </w:r>
            <w:r w:rsidR="002C190A">
              <w:rPr>
                <w:rFonts w:ascii="Cambria" w:hAnsi="Cambria"/>
                <w:sz w:val="24"/>
                <w:szCs w:val="24"/>
              </w:rPr>
              <w:t xml:space="preserve"> en faveur des enfants non scolarisés et déscolarisés</w:t>
            </w:r>
          </w:p>
        </w:tc>
        <w:tc>
          <w:tcPr>
            <w:tcW w:w="3147" w:type="dxa"/>
          </w:tcPr>
          <w:p w:rsidR="004B5E69" w:rsidRPr="00D540DF" w:rsidRDefault="00D540DF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540DF">
              <w:rPr>
                <w:rFonts w:ascii="Cambria" w:hAnsi="Cambria"/>
                <w:sz w:val="24"/>
                <w:szCs w:val="24"/>
              </w:rPr>
              <w:t xml:space="preserve">Développement de stratégies, de mécanismes et d'instruments et outils de plaidoyer et de communication </w:t>
            </w:r>
            <w:r w:rsidR="004B5E69" w:rsidRPr="00D540DF">
              <w:rPr>
                <w:rFonts w:ascii="Cambria" w:hAnsi="Cambria"/>
                <w:sz w:val="24"/>
                <w:szCs w:val="24"/>
              </w:rPr>
              <w:t>pour atteindre les différentes population</w:t>
            </w:r>
            <w:r w:rsidRPr="00D540DF"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5954" w:type="dxa"/>
          </w:tcPr>
          <w:p w:rsidR="004B5E69" w:rsidRPr="00F50573" w:rsidRDefault="004B5E69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Ateliers instituant des groupes d’influence </w:t>
            </w:r>
            <w:r w:rsidR="00D540DF"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actifs 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(parlementaire, ONG, groupes des médias</w:t>
            </w:r>
            <w:r w:rsidR="00D540DF" w:rsidRPr="00F50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élus</w:t>
            </w:r>
            <w:r w:rsidR="00D540DF"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régionaux,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artistes, </w:t>
            </w:r>
            <w:r w:rsidR="00EA526E" w:rsidRPr="00F50573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40DF"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en faveur de l’ENF</w:t>
            </w:r>
          </w:p>
        </w:tc>
      </w:tr>
      <w:tr w:rsidR="004B5E69" w:rsidRPr="00285402" w:rsidTr="001B2168">
        <w:trPr>
          <w:trHeight w:hRule="exact" w:val="1988"/>
        </w:trPr>
        <w:tc>
          <w:tcPr>
            <w:tcW w:w="1588" w:type="dxa"/>
            <w:vMerge/>
          </w:tcPr>
          <w:p w:rsidR="004B5E69" w:rsidRPr="00285402" w:rsidRDefault="004B5E69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:rsidR="004B5E69" w:rsidRPr="001B7203" w:rsidRDefault="004B5E69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  <w:vMerge/>
          </w:tcPr>
          <w:p w:rsidR="004B5E69" w:rsidRPr="00D540DF" w:rsidRDefault="004B5E69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7" w:type="dxa"/>
          </w:tcPr>
          <w:p w:rsidR="004B5E69" w:rsidRPr="00D540DF" w:rsidRDefault="004B5E69" w:rsidP="002B36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540DF">
              <w:rPr>
                <w:rFonts w:ascii="Cambria" w:hAnsi="Cambria"/>
                <w:sz w:val="24"/>
                <w:szCs w:val="24"/>
              </w:rPr>
              <w:t>Sensibilisation, mobilisation et ancrage des programmes d'ENF localement</w:t>
            </w:r>
          </w:p>
        </w:tc>
        <w:tc>
          <w:tcPr>
            <w:tcW w:w="5954" w:type="dxa"/>
          </w:tcPr>
          <w:p w:rsidR="004B5E69" w:rsidRPr="00F50573" w:rsidRDefault="004B5E69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Organisation de campagnes de communication radio télévisées, élaboration et édition de support</w:t>
            </w:r>
            <w:r w:rsidR="002B3640" w:rsidRPr="00F505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 de sensibilisation et de mobilisation (dépliant, brochure, affiche, </w:t>
            </w:r>
            <w:r w:rsidR="00EA526E" w:rsidRPr="00F50573">
              <w:rPr>
                <w:rFonts w:ascii="Times New Roman" w:hAnsi="Times New Roman" w:cs="Times New Roman"/>
                <w:sz w:val="24"/>
                <w:szCs w:val="24"/>
              </w:rPr>
              <w:t xml:space="preserve">mes, </w:t>
            </w: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  <w:p w:rsidR="004B5E69" w:rsidRPr="00F50573" w:rsidRDefault="004B5E69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Organisation de séminaires régionaux sur l'ENF pour la mobilisation et l'implication des acteurs locaux</w:t>
            </w:r>
          </w:p>
          <w:p w:rsidR="004B5E69" w:rsidRPr="00F50573" w:rsidRDefault="004B5E69" w:rsidP="00F5057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3">
              <w:rPr>
                <w:rFonts w:ascii="Times New Roman" w:hAnsi="Times New Roman" w:cs="Times New Roman"/>
                <w:sz w:val="24"/>
                <w:szCs w:val="24"/>
              </w:rPr>
              <w:t>Encouragement de l'excellence en ENF. (prix, certificats d'excellence, etc.)</w:t>
            </w:r>
          </w:p>
        </w:tc>
      </w:tr>
      <w:tr w:rsidR="003F601B" w:rsidRPr="00285402" w:rsidTr="001B2168">
        <w:trPr>
          <w:trHeight w:hRule="exact" w:val="1988"/>
        </w:trPr>
        <w:tc>
          <w:tcPr>
            <w:tcW w:w="1588" w:type="dxa"/>
          </w:tcPr>
          <w:p w:rsidR="003F601B" w:rsidRPr="00285402" w:rsidRDefault="003F601B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3F601B" w:rsidRPr="001B7203" w:rsidRDefault="003F601B" w:rsidP="002B36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39" w:type="dxa"/>
          </w:tcPr>
          <w:p w:rsidR="003F601B" w:rsidRPr="00D540DF" w:rsidRDefault="003F601B" w:rsidP="002B364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7" w:type="dxa"/>
          </w:tcPr>
          <w:p w:rsidR="003F601B" w:rsidRPr="00D540DF" w:rsidRDefault="003F601B" w:rsidP="003F601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Partage</w:t>
            </w:r>
            <w:r w:rsidRPr="003F601B">
              <w:rPr>
                <w:rFonts w:ascii="Cambria" w:hAnsi="Cambria"/>
                <w:sz w:val="24"/>
                <w:szCs w:val="24"/>
              </w:rPr>
              <w:t xml:space="preserve"> des expériences réussies en matière des écoles de la 2</w:t>
            </w:r>
            <w:r w:rsidRPr="003F601B">
              <w:rPr>
                <w:rFonts w:ascii="Cambria" w:hAnsi="Cambria"/>
                <w:sz w:val="24"/>
                <w:szCs w:val="24"/>
                <w:vertAlign w:val="superscript"/>
              </w:rPr>
              <w:t>ème</w:t>
            </w:r>
            <w:r w:rsidRPr="003F601B">
              <w:rPr>
                <w:rFonts w:ascii="Cambria" w:hAnsi="Cambria"/>
                <w:sz w:val="24"/>
                <w:szCs w:val="24"/>
              </w:rPr>
              <w:t xml:space="preserve"> chance dans le cadre d’une coopération SUD-SUD</w:t>
            </w:r>
          </w:p>
        </w:tc>
        <w:tc>
          <w:tcPr>
            <w:tcW w:w="5954" w:type="dxa"/>
          </w:tcPr>
          <w:p w:rsidR="003F601B" w:rsidRPr="003F601B" w:rsidRDefault="003F601B" w:rsidP="003F60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272" w:rsidRDefault="00380272" w:rsidP="00380272">
      <w:pPr>
        <w:spacing w:after="0" w:line="240" w:lineRule="auto"/>
        <w:jc w:val="both"/>
        <w:rPr>
          <w:rFonts w:ascii="Cambria" w:hAnsi="Cambria"/>
        </w:rPr>
      </w:pPr>
    </w:p>
    <w:p w:rsidR="00380272" w:rsidRDefault="00380272" w:rsidP="00380272">
      <w:pPr>
        <w:spacing w:after="0" w:line="240" w:lineRule="auto"/>
        <w:jc w:val="both"/>
        <w:rPr>
          <w:rFonts w:ascii="Cambria" w:hAnsi="Cambria"/>
        </w:rPr>
      </w:pPr>
    </w:p>
    <w:p w:rsidR="00380272" w:rsidRDefault="00380272" w:rsidP="00380272">
      <w:pPr>
        <w:spacing w:after="0" w:line="240" w:lineRule="auto"/>
        <w:jc w:val="both"/>
        <w:rPr>
          <w:rFonts w:ascii="Cambria" w:hAnsi="Cambria"/>
        </w:rPr>
      </w:pPr>
    </w:p>
    <w:p w:rsidR="003F601B" w:rsidRDefault="003F601B" w:rsidP="00380272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F601B" w:rsidRPr="00285402" w:rsidRDefault="003F601B" w:rsidP="00380272">
      <w:pPr>
        <w:spacing w:after="0" w:line="240" w:lineRule="auto"/>
        <w:jc w:val="both"/>
        <w:rPr>
          <w:rFonts w:ascii="Cambria" w:hAnsi="Cambria"/>
        </w:rPr>
        <w:sectPr w:rsidR="003F601B" w:rsidRPr="00285402" w:rsidSect="004B5E69">
          <w:pgSz w:w="16838" w:h="11906" w:orient="landscape"/>
          <w:pgMar w:top="426" w:right="1418" w:bottom="568" w:left="1418" w:header="708" w:footer="708" w:gutter="0"/>
          <w:cols w:space="708"/>
          <w:docGrid w:linePitch="360"/>
        </w:sectPr>
      </w:pPr>
    </w:p>
    <w:p w:rsidR="00E70D8A" w:rsidRPr="002C53F5" w:rsidRDefault="00F37600" w:rsidP="009E5D41">
      <w:pPr>
        <w:spacing w:after="0" w:line="240" w:lineRule="auto"/>
        <w:jc w:val="center"/>
        <w:rPr>
          <w:smallCaps/>
          <w:color w:val="000000"/>
          <w:sz w:val="28"/>
          <w:szCs w:val="28"/>
          <w:lang w:bidi="ar-MA"/>
        </w:rPr>
      </w:pPr>
      <w:r w:rsidRPr="002C53F5">
        <w:rPr>
          <w:smallCaps/>
          <w:color w:val="000000"/>
          <w:sz w:val="28"/>
          <w:szCs w:val="28"/>
          <w:lang w:bidi="ar-MA"/>
        </w:rPr>
        <w:lastRenderedPageBreak/>
        <w:t>Projet de plan d’action DENF UNICEF</w:t>
      </w:r>
    </w:p>
    <w:p w:rsidR="00F37600" w:rsidRPr="002C53F5" w:rsidRDefault="00F37600" w:rsidP="00451B3E">
      <w:pPr>
        <w:spacing w:after="0" w:line="240" w:lineRule="auto"/>
        <w:jc w:val="center"/>
        <w:rPr>
          <w:smallCaps/>
          <w:color w:val="000000"/>
          <w:sz w:val="28"/>
          <w:szCs w:val="28"/>
          <w:lang w:bidi="ar-MA"/>
        </w:rPr>
      </w:pPr>
      <w:r w:rsidRPr="002C53F5">
        <w:rPr>
          <w:smallCaps/>
          <w:color w:val="000000"/>
          <w:sz w:val="28"/>
          <w:szCs w:val="28"/>
          <w:lang w:bidi="ar-MA"/>
        </w:rPr>
        <w:t xml:space="preserve">Année </w:t>
      </w:r>
      <w:r w:rsidR="002C659D" w:rsidRPr="002C53F5">
        <w:rPr>
          <w:smallCaps/>
          <w:color w:val="000000"/>
          <w:sz w:val="28"/>
          <w:szCs w:val="28"/>
          <w:lang w:bidi="ar-MA"/>
        </w:rPr>
        <w:t>201</w:t>
      </w:r>
      <w:r w:rsidR="00451B3E">
        <w:rPr>
          <w:smallCaps/>
          <w:color w:val="000000"/>
          <w:sz w:val="28"/>
          <w:szCs w:val="28"/>
          <w:lang w:bidi="ar-MA"/>
        </w:rPr>
        <w:t>3</w:t>
      </w:r>
      <w:r w:rsidR="002C659D" w:rsidRPr="002C53F5">
        <w:rPr>
          <w:smallCaps/>
          <w:color w:val="000000"/>
          <w:sz w:val="28"/>
          <w:szCs w:val="28"/>
          <w:lang w:bidi="ar-MA"/>
        </w:rPr>
        <w:t>-</w:t>
      </w:r>
      <w:r w:rsidRPr="002C53F5">
        <w:rPr>
          <w:smallCaps/>
          <w:color w:val="000000"/>
          <w:sz w:val="28"/>
          <w:szCs w:val="28"/>
          <w:lang w:bidi="ar-MA"/>
        </w:rPr>
        <w:t>201</w:t>
      </w:r>
      <w:r w:rsidR="00451B3E">
        <w:rPr>
          <w:smallCaps/>
          <w:color w:val="000000"/>
          <w:sz w:val="28"/>
          <w:szCs w:val="28"/>
          <w:lang w:bidi="ar-MA"/>
        </w:rPr>
        <w:t>4</w:t>
      </w:r>
    </w:p>
    <w:p w:rsidR="001C018D" w:rsidRPr="002C659D" w:rsidRDefault="001C018D" w:rsidP="002C659D">
      <w:pPr>
        <w:spacing w:after="0" w:line="240" w:lineRule="auto"/>
        <w:rPr>
          <w:color w:val="000000"/>
          <w:sz w:val="8"/>
          <w:szCs w:val="8"/>
          <w:lang w:bidi="ar-MA"/>
        </w:rPr>
      </w:pPr>
    </w:p>
    <w:p w:rsidR="00F37600" w:rsidRPr="00073B8F" w:rsidRDefault="00F37600" w:rsidP="002C659D">
      <w:pPr>
        <w:numPr>
          <w:ilvl w:val="0"/>
          <w:numId w:val="25"/>
        </w:num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  <w:r w:rsidRPr="00073B8F">
        <w:rPr>
          <w:b/>
          <w:bCs/>
          <w:color w:val="000000"/>
          <w:sz w:val="28"/>
          <w:szCs w:val="28"/>
          <w:u w:val="single"/>
          <w:lang w:bidi="ar-MA"/>
        </w:rPr>
        <w:t>Plaidoyer</w:t>
      </w:r>
    </w:p>
    <w:p w:rsidR="001C018D" w:rsidRPr="009E5D41" w:rsidRDefault="00F37600" w:rsidP="002C659D">
      <w:pPr>
        <w:spacing w:after="0" w:line="240" w:lineRule="auto"/>
        <w:ind w:left="360"/>
        <w:rPr>
          <w:color w:val="000000"/>
          <w:sz w:val="28"/>
          <w:szCs w:val="28"/>
          <w:lang w:bidi="ar-MA"/>
        </w:rPr>
      </w:pPr>
      <w:r w:rsidRPr="009E5D41">
        <w:rPr>
          <w:color w:val="000000"/>
          <w:sz w:val="28"/>
          <w:szCs w:val="28"/>
          <w:lang w:bidi="ar-MA"/>
        </w:rPr>
        <w:t>Développement de stratégies, de</w:t>
      </w:r>
      <w:r w:rsidR="00CA360B" w:rsidRPr="009E5D41">
        <w:rPr>
          <w:color w:val="000000"/>
          <w:sz w:val="28"/>
          <w:szCs w:val="28"/>
          <w:lang w:bidi="ar-MA"/>
        </w:rPr>
        <w:t xml:space="preserve"> mécanismes et d'instruments/</w:t>
      </w:r>
      <w:r w:rsidRPr="009E5D41">
        <w:rPr>
          <w:color w:val="000000"/>
          <w:sz w:val="28"/>
          <w:szCs w:val="28"/>
          <w:lang w:bidi="ar-MA"/>
        </w:rPr>
        <w:t>outils de plaidoyer et de communication pour atteindre les différentes populations</w:t>
      </w:r>
    </w:p>
    <w:p w:rsidR="003F601B" w:rsidRDefault="003F601B" w:rsidP="00073B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1C018D" w:rsidRPr="00CA360B" w:rsidRDefault="002A7F59" w:rsidP="00073B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Activités</w:t>
      </w:r>
      <w:r w:rsidR="001C018D" w:rsidRPr="00CA360B">
        <w:rPr>
          <w:rFonts w:ascii="Cambria" w:hAnsi="Cambria"/>
          <w:b/>
          <w:bCs/>
          <w:sz w:val="24"/>
          <w:szCs w:val="24"/>
        </w:rPr>
        <w:t> :</w:t>
      </w:r>
    </w:p>
    <w:p w:rsidR="001C018D" w:rsidRPr="002C659D" w:rsidRDefault="001C018D" w:rsidP="009727A7">
      <w:pPr>
        <w:spacing w:after="0" w:line="240" w:lineRule="auto"/>
        <w:rPr>
          <w:color w:val="000000"/>
          <w:sz w:val="8"/>
          <w:szCs w:val="8"/>
          <w:lang w:bidi="ar-MA"/>
        </w:rPr>
      </w:pPr>
    </w:p>
    <w:p w:rsidR="009727A7" w:rsidRPr="009727A7" w:rsidRDefault="009727A7" w:rsidP="009727A7">
      <w:pPr>
        <w:numPr>
          <w:ilvl w:val="0"/>
          <w:numId w:val="30"/>
        </w:numPr>
        <w:spacing w:after="0" w:line="240" w:lineRule="auto"/>
        <w:ind w:left="709" w:hanging="141"/>
        <w:rPr>
          <w:rFonts w:ascii="Cambria" w:hAnsi="Cambria"/>
          <w:sz w:val="24"/>
          <w:szCs w:val="24"/>
        </w:rPr>
      </w:pPr>
      <w:r w:rsidRPr="009727A7">
        <w:rPr>
          <w:rFonts w:ascii="Cambria" w:hAnsi="Cambria"/>
          <w:sz w:val="24"/>
          <w:szCs w:val="24"/>
        </w:rPr>
        <w:t>Élaborer une stratégie de plaidoyer déclinée en plan(s) d’action en vue de la visibilité des programme de l’ENF pour lutter contre le phénomène de non scolarisation et de déscolarisation ;</w:t>
      </w:r>
    </w:p>
    <w:p w:rsidR="001C018D" w:rsidRDefault="001C018D" w:rsidP="009727A7">
      <w:pPr>
        <w:numPr>
          <w:ilvl w:val="0"/>
          <w:numId w:val="30"/>
        </w:numPr>
        <w:spacing w:after="0" w:line="240" w:lineRule="auto"/>
        <w:ind w:left="709" w:hanging="14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Organiser des a</w:t>
      </w:r>
      <w:r w:rsidRPr="00D540DF">
        <w:rPr>
          <w:rFonts w:ascii="Cambria" w:hAnsi="Cambria"/>
          <w:sz w:val="24"/>
          <w:szCs w:val="24"/>
        </w:rPr>
        <w:t xml:space="preserve">teliers instituant des groupes d’influence </w:t>
      </w:r>
      <w:r>
        <w:rPr>
          <w:rFonts w:ascii="Cambria" w:hAnsi="Cambria"/>
          <w:sz w:val="24"/>
          <w:szCs w:val="24"/>
        </w:rPr>
        <w:t xml:space="preserve">actifs </w:t>
      </w:r>
      <w:r w:rsidRPr="00D540DF">
        <w:rPr>
          <w:rFonts w:ascii="Cambria" w:hAnsi="Cambria"/>
          <w:sz w:val="24"/>
          <w:szCs w:val="24"/>
        </w:rPr>
        <w:t>(parlementaire</w:t>
      </w:r>
      <w:r w:rsidR="00CA360B">
        <w:rPr>
          <w:rFonts w:ascii="Cambria" w:hAnsi="Cambria"/>
          <w:sz w:val="24"/>
          <w:szCs w:val="24"/>
        </w:rPr>
        <w:t>s</w:t>
      </w:r>
      <w:r w:rsidRPr="00D540DF">
        <w:rPr>
          <w:rFonts w:ascii="Cambria" w:hAnsi="Cambria"/>
          <w:sz w:val="24"/>
          <w:szCs w:val="24"/>
        </w:rPr>
        <w:t>, ONG, groupes des médias</w:t>
      </w:r>
      <w:r>
        <w:rPr>
          <w:rFonts w:ascii="Cambria" w:hAnsi="Cambria"/>
          <w:sz w:val="24"/>
          <w:szCs w:val="24"/>
        </w:rPr>
        <w:t>,</w:t>
      </w:r>
      <w:r w:rsidRPr="00D540DF">
        <w:rPr>
          <w:rFonts w:ascii="Cambria" w:hAnsi="Cambria"/>
          <w:sz w:val="24"/>
          <w:szCs w:val="24"/>
        </w:rPr>
        <w:t xml:space="preserve"> élus</w:t>
      </w:r>
      <w:r>
        <w:rPr>
          <w:rFonts w:ascii="Cambria" w:hAnsi="Cambria"/>
          <w:sz w:val="24"/>
          <w:szCs w:val="24"/>
        </w:rPr>
        <w:t xml:space="preserve"> régionaux,</w:t>
      </w:r>
      <w:r w:rsidRPr="00D540DF">
        <w:rPr>
          <w:rFonts w:ascii="Cambria" w:hAnsi="Cambria"/>
          <w:sz w:val="24"/>
          <w:szCs w:val="24"/>
        </w:rPr>
        <w:t xml:space="preserve"> artistes, etc</w:t>
      </w:r>
      <w:proofErr w:type="gramStart"/>
      <w:r w:rsidRPr="00D540DF">
        <w:rPr>
          <w:rFonts w:ascii="Cambria" w:hAnsi="Cambria"/>
          <w:sz w:val="24"/>
          <w:szCs w:val="24"/>
        </w:rPr>
        <w:t>. )</w:t>
      </w:r>
      <w:proofErr w:type="gramEnd"/>
      <w:r>
        <w:rPr>
          <w:rFonts w:ascii="Cambria" w:hAnsi="Cambria"/>
          <w:sz w:val="24"/>
          <w:szCs w:val="24"/>
        </w:rPr>
        <w:t xml:space="preserve"> en faveur de l’ENF</w:t>
      </w:r>
      <w:r w:rsidR="00CA360B">
        <w:rPr>
          <w:rFonts w:ascii="Cambria" w:hAnsi="Cambria"/>
          <w:sz w:val="24"/>
          <w:szCs w:val="24"/>
        </w:rPr>
        <w:t> ;</w:t>
      </w:r>
    </w:p>
    <w:p w:rsidR="002A7F59" w:rsidRDefault="002A7F59" w:rsidP="009727A7">
      <w:pPr>
        <w:numPr>
          <w:ilvl w:val="0"/>
          <w:numId w:val="30"/>
        </w:numPr>
        <w:spacing w:after="0" w:line="240" w:lineRule="auto"/>
        <w:ind w:left="709" w:hanging="14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Organisation de séminaires régionaux/locaux sur l’ENF) en vue de s</w:t>
      </w:r>
      <w:r w:rsidR="001C018D">
        <w:rPr>
          <w:rFonts w:ascii="Cambria" w:hAnsi="Cambria"/>
          <w:sz w:val="24"/>
          <w:szCs w:val="24"/>
        </w:rPr>
        <w:t xml:space="preserve">ensibiliser et mobiliser les acteurs au niveau régional et local pour permettre l’ancrage des programmes de l’ENF localement </w:t>
      </w:r>
    </w:p>
    <w:p w:rsidR="00CA360B" w:rsidRDefault="001C018D" w:rsidP="009727A7">
      <w:pPr>
        <w:numPr>
          <w:ilvl w:val="0"/>
          <w:numId w:val="30"/>
        </w:numPr>
        <w:spacing w:after="0" w:line="240" w:lineRule="auto"/>
        <w:ind w:left="709" w:hanging="141"/>
        <w:rPr>
          <w:rFonts w:ascii="Cambria" w:hAnsi="Cambria"/>
          <w:sz w:val="24"/>
          <w:szCs w:val="24"/>
        </w:rPr>
      </w:pPr>
      <w:r w:rsidRPr="00D540DF">
        <w:rPr>
          <w:rFonts w:ascii="Cambria" w:hAnsi="Cambria"/>
          <w:sz w:val="24"/>
          <w:szCs w:val="24"/>
        </w:rPr>
        <w:t>Organis</w:t>
      </w:r>
      <w:r>
        <w:rPr>
          <w:rFonts w:ascii="Cambria" w:hAnsi="Cambria"/>
          <w:sz w:val="24"/>
          <w:szCs w:val="24"/>
        </w:rPr>
        <w:t xml:space="preserve">er </w:t>
      </w:r>
      <w:r w:rsidRPr="00D540DF">
        <w:rPr>
          <w:rFonts w:ascii="Cambria" w:hAnsi="Cambria"/>
          <w:sz w:val="24"/>
          <w:szCs w:val="24"/>
        </w:rPr>
        <w:t>de</w:t>
      </w:r>
      <w:r>
        <w:rPr>
          <w:rFonts w:ascii="Cambria" w:hAnsi="Cambria"/>
          <w:sz w:val="24"/>
          <w:szCs w:val="24"/>
        </w:rPr>
        <w:t>s</w:t>
      </w:r>
      <w:r w:rsidRPr="00D540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campagnes de communications (radio et tété), élaborer et éditer </w:t>
      </w:r>
      <w:r w:rsidR="00CA360B">
        <w:rPr>
          <w:rFonts w:ascii="Cambria" w:hAnsi="Cambria"/>
          <w:sz w:val="24"/>
          <w:szCs w:val="24"/>
        </w:rPr>
        <w:t>les supports</w:t>
      </w:r>
      <w:r>
        <w:rPr>
          <w:rFonts w:ascii="Cambria" w:hAnsi="Cambria"/>
          <w:sz w:val="24"/>
          <w:szCs w:val="24"/>
        </w:rPr>
        <w:t xml:space="preserve"> pertinents et adéquats </w:t>
      </w:r>
      <w:r w:rsidRPr="00D540DF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message radio et télé, </w:t>
      </w:r>
      <w:r w:rsidRPr="00D540DF">
        <w:rPr>
          <w:rFonts w:ascii="Cambria" w:hAnsi="Cambria"/>
          <w:sz w:val="24"/>
          <w:szCs w:val="24"/>
        </w:rPr>
        <w:t>dépliant</w:t>
      </w:r>
      <w:r>
        <w:rPr>
          <w:rFonts w:ascii="Cambria" w:hAnsi="Cambria"/>
          <w:sz w:val="24"/>
          <w:szCs w:val="24"/>
        </w:rPr>
        <w:t>s</w:t>
      </w:r>
      <w:r w:rsidRPr="00D540DF">
        <w:rPr>
          <w:rFonts w:ascii="Cambria" w:hAnsi="Cambria"/>
          <w:sz w:val="24"/>
          <w:szCs w:val="24"/>
        </w:rPr>
        <w:t>, brochure</w:t>
      </w:r>
      <w:r>
        <w:rPr>
          <w:rFonts w:ascii="Cambria" w:hAnsi="Cambria"/>
          <w:sz w:val="24"/>
          <w:szCs w:val="24"/>
        </w:rPr>
        <w:t>s</w:t>
      </w:r>
      <w:r w:rsidRPr="00D540DF">
        <w:rPr>
          <w:rFonts w:ascii="Cambria" w:hAnsi="Cambria"/>
          <w:sz w:val="24"/>
          <w:szCs w:val="24"/>
        </w:rPr>
        <w:t>, affiche</w:t>
      </w:r>
      <w:r>
        <w:rPr>
          <w:rFonts w:ascii="Cambria" w:hAnsi="Cambria"/>
          <w:sz w:val="24"/>
          <w:szCs w:val="24"/>
        </w:rPr>
        <w:t xml:space="preserve">s, </w:t>
      </w:r>
      <w:r w:rsidRPr="00D540DF">
        <w:rPr>
          <w:rFonts w:ascii="Cambria" w:hAnsi="Cambria"/>
          <w:sz w:val="24"/>
          <w:szCs w:val="24"/>
        </w:rPr>
        <w:t>etc.)</w:t>
      </w:r>
      <w:r w:rsidR="00CA360B">
        <w:rPr>
          <w:rFonts w:ascii="Cambria" w:hAnsi="Cambria"/>
          <w:sz w:val="24"/>
          <w:szCs w:val="24"/>
        </w:rPr>
        <w:t> ;</w:t>
      </w:r>
    </w:p>
    <w:p w:rsidR="00CA360B" w:rsidRDefault="00F37600" w:rsidP="009727A7">
      <w:pPr>
        <w:numPr>
          <w:ilvl w:val="0"/>
          <w:numId w:val="30"/>
        </w:numPr>
        <w:spacing w:after="0" w:line="240" w:lineRule="auto"/>
        <w:ind w:left="709" w:hanging="141"/>
        <w:rPr>
          <w:rFonts w:ascii="Cambria" w:hAnsi="Cambria"/>
          <w:sz w:val="24"/>
          <w:szCs w:val="24"/>
        </w:rPr>
      </w:pPr>
      <w:r w:rsidRPr="00CA360B">
        <w:rPr>
          <w:rFonts w:ascii="Cambria" w:hAnsi="Cambria"/>
          <w:sz w:val="24"/>
          <w:szCs w:val="24"/>
        </w:rPr>
        <w:t>Encouragement de l'excellence en ENF. (prix, certificats d'excellence, etc.)</w:t>
      </w:r>
      <w:r w:rsidR="00CA360B" w:rsidRPr="00CA360B">
        <w:rPr>
          <w:rFonts w:ascii="Cambria" w:hAnsi="Cambria"/>
          <w:sz w:val="24"/>
          <w:szCs w:val="24"/>
        </w:rPr>
        <w:t>.</w:t>
      </w:r>
    </w:p>
    <w:p w:rsidR="00F3523C" w:rsidRDefault="00F3523C" w:rsidP="002C659D">
      <w:pPr>
        <w:spacing w:after="0" w:line="240" w:lineRule="auto"/>
        <w:rPr>
          <w:color w:val="000000"/>
          <w:sz w:val="8"/>
          <w:szCs w:val="8"/>
          <w:lang w:bidi="ar-MA"/>
        </w:rPr>
      </w:pPr>
    </w:p>
    <w:p w:rsidR="00073B8F" w:rsidRPr="002C659D" w:rsidRDefault="00073B8F" w:rsidP="002C659D">
      <w:pPr>
        <w:spacing w:after="0" w:line="240" w:lineRule="auto"/>
        <w:rPr>
          <w:color w:val="000000"/>
          <w:sz w:val="8"/>
          <w:szCs w:val="8"/>
          <w:lang w:bidi="ar-MA"/>
        </w:rPr>
      </w:pPr>
    </w:p>
    <w:p w:rsidR="00F37600" w:rsidRPr="00073B8F" w:rsidRDefault="00CA360B" w:rsidP="002C659D">
      <w:pPr>
        <w:numPr>
          <w:ilvl w:val="0"/>
          <w:numId w:val="25"/>
        </w:num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  <w:r w:rsidRPr="00073B8F">
        <w:rPr>
          <w:b/>
          <w:bCs/>
          <w:color w:val="000000"/>
          <w:sz w:val="28"/>
          <w:szCs w:val="28"/>
          <w:u w:val="single"/>
          <w:lang w:bidi="ar-MA"/>
        </w:rPr>
        <w:t>Projet qualité de l’ENF</w:t>
      </w:r>
    </w:p>
    <w:p w:rsidR="00073B8F" w:rsidRDefault="00073B8F" w:rsidP="002C659D">
      <w:pPr>
        <w:spacing w:after="0" w:line="240" w:lineRule="auto"/>
        <w:ind w:left="360"/>
        <w:rPr>
          <w:color w:val="000000"/>
          <w:sz w:val="28"/>
          <w:szCs w:val="28"/>
          <w:lang w:bidi="ar-MA"/>
        </w:rPr>
      </w:pPr>
    </w:p>
    <w:p w:rsidR="00F50573" w:rsidRDefault="00CA360B" w:rsidP="003F601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073B8F">
        <w:rPr>
          <w:rFonts w:ascii="Cambria" w:hAnsi="Cambria"/>
          <w:sz w:val="24"/>
          <w:szCs w:val="24"/>
        </w:rPr>
        <w:t xml:space="preserve">La continuité des actions entamées lors </w:t>
      </w:r>
      <w:r w:rsidR="003F601B">
        <w:rPr>
          <w:rFonts w:ascii="Cambria" w:hAnsi="Cambria"/>
          <w:sz w:val="24"/>
          <w:szCs w:val="24"/>
        </w:rPr>
        <w:t>du plan d’action</w:t>
      </w:r>
      <w:r w:rsidR="00073B8F" w:rsidRPr="00073B8F">
        <w:rPr>
          <w:rFonts w:ascii="Cambria" w:hAnsi="Cambria"/>
          <w:sz w:val="24"/>
          <w:szCs w:val="24"/>
        </w:rPr>
        <w:t xml:space="preserve"> 2012-13</w:t>
      </w:r>
      <w:r w:rsidRPr="00073B8F">
        <w:rPr>
          <w:rFonts w:ascii="Cambria" w:hAnsi="Cambria"/>
          <w:sz w:val="24"/>
          <w:szCs w:val="24"/>
        </w:rPr>
        <w:t xml:space="preserve"> pour le développement de la qualité dans le domaine de l’ENF.</w:t>
      </w:r>
    </w:p>
    <w:p w:rsidR="003F601B" w:rsidRDefault="003F601B" w:rsidP="00073B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E5D41" w:rsidRPr="00CA360B" w:rsidRDefault="002A7F59" w:rsidP="00073B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Activités</w:t>
      </w:r>
      <w:r w:rsidR="009E5D41" w:rsidRPr="00CA360B">
        <w:rPr>
          <w:rFonts w:ascii="Cambria" w:hAnsi="Cambria"/>
          <w:b/>
          <w:bCs/>
          <w:sz w:val="24"/>
          <w:szCs w:val="24"/>
        </w:rPr>
        <w:t> :</w:t>
      </w:r>
    </w:p>
    <w:p w:rsidR="00073B8F" w:rsidRPr="00073B8F" w:rsidRDefault="00073B8F" w:rsidP="00F50573">
      <w:pPr>
        <w:pStyle w:val="Paragraphedelist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60B">
        <w:rPr>
          <w:rFonts w:ascii="Cambria" w:hAnsi="Cambria"/>
          <w:sz w:val="24"/>
          <w:szCs w:val="24"/>
        </w:rPr>
        <w:t>Edition du « référentiel qualité de l’ENF »</w:t>
      </w:r>
    </w:p>
    <w:p w:rsidR="00F50573" w:rsidRPr="00F50573" w:rsidRDefault="00F50573" w:rsidP="00F50573">
      <w:pPr>
        <w:pStyle w:val="Paragraphedelist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Formation des facilitateurs (membres des ONG) pour former et accompagner les associations dans la mise en place et le suivi de leur projet*(Avril 2014)</w:t>
      </w:r>
    </w:p>
    <w:p w:rsidR="00F50573" w:rsidRPr="00F50573" w:rsidRDefault="00F50573" w:rsidP="00F50573">
      <w:pPr>
        <w:pStyle w:val="Paragraphedelist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 xml:space="preserve">Signature des conventions avec les </w:t>
      </w:r>
      <w:proofErr w:type="spellStart"/>
      <w:r w:rsidRPr="00F50573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Pr="00F50573">
        <w:rPr>
          <w:rFonts w:ascii="Times New Roman" w:hAnsi="Times New Roman" w:cs="Times New Roman"/>
          <w:sz w:val="24"/>
          <w:szCs w:val="24"/>
        </w:rPr>
        <w:t xml:space="preserve"> engagées dans le processus (</w:t>
      </w:r>
      <w:proofErr w:type="spellStart"/>
      <w:r w:rsidRPr="00F50573">
        <w:rPr>
          <w:rFonts w:ascii="Times New Roman" w:hAnsi="Times New Roman" w:cs="Times New Roman"/>
          <w:sz w:val="24"/>
          <w:szCs w:val="24"/>
        </w:rPr>
        <w:t>Mai-juin</w:t>
      </w:r>
      <w:proofErr w:type="spellEnd"/>
      <w:r w:rsidRPr="00F50573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F50573" w:rsidRPr="00F50573" w:rsidRDefault="00F50573" w:rsidP="00F50573">
      <w:pPr>
        <w:pStyle w:val="Paragraphedeliste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Mise en place des projets par les ONG engagées dans le processus (</w:t>
      </w:r>
      <w:r w:rsidR="00073B8F">
        <w:rPr>
          <w:rFonts w:ascii="Times New Roman" w:hAnsi="Times New Roman" w:cs="Times New Roman"/>
          <w:sz w:val="24"/>
          <w:szCs w:val="24"/>
        </w:rPr>
        <w:t>à partir d’</w:t>
      </w:r>
      <w:r w:rsidRPr="00F50573">
        <w:rPr>
          <w:rFonts w:ascii="Times New Roman" w:hAnsi="Times New Roman" w:cs="Times New Roman"/>
          <w:sz w:val="24"/>
          <w:szCs w:val="24"/>
        </w:rPr>
        <w:t>Octobre 2014)</w:t>
      </w:r>
    </w:p>
    <w:p w:rsidR="00F50573" w:rsidRPr="00073B8F" w:rsidRDefault="00F50573" w:rsidP="00F50573">
      <w:pPr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Suivi de la mise en place du projet par la DENF – service régionaux et provinciaux / UNICEF</w:t>
      </w:r>
    </w:p>
    <w:p w:rsidR="00073B8F" w:rsidRPr="00F50573" w:rsidRDefault="00073B8F" w:rsidP="00073B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73B8F" w:rsidRPr="00073B8F" w:rsidRDefault="00073B8F" w:rsidP="00073B8F">
      <w:pPr>
        <w:numPr>
          <w:ilvl w:val="0"/>
          <w:numId w:val="25"/>
        </w:num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  <w:r w:rsidRPr="00073B8F">
        <w:rPr>
          <w:b/>
          <w:bCs/>
          <w:color w:val="000000"/>
          <w:sz w:val="28"/>
          <w:szCs w:val="28"/>
          <w:u w:val="single"/>
          <w:lang w:bidi="ar-MA"/>
        </w:rPr>
        <w:t xml:space="preserve">Mise en œuvre </w:t>
      </w:r>
      <w:r w:rsidR="005E1EFD">
        <w:rPr>
          <w:b/>
          <w:bCs/>
          <w:color w:val="000000"/>
          <w:sz w:val="28"/>
          <w:szCs w:val="28"/>
          <w:u w:val="single"/>
          <w:lang w:bidi="ar-MA"/>
        </w:rPr>
        <w:t xml:space="preserve">de </w:t>
      </w:r>
      <w:r w:rsidRPr="00073B8F">
        <w:rPr>
          <w:b/>
          <w:bCs/>
          <w:color w:val="000000"/>
          <w:sz w:val="28"/>
          <w:szCs w:val="28"/>
          <w:u w:val="single"/>
          <w:lang w:bidi="ar-MA"/>
        </w:rPr>
        <w:t xml:space="preserve">la stratégie de développement du projet personnel de l’élève au niveau des centres de l’ENF </w:t>
      </w:r>
    </w:p>
    <w:p w:rsidR="003F601B" w:rsidRDefault="003F601B" w:rsidP="009D473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73B8F" w:rsidRPr="009D473B" w:rsidRDefault="00073B8F" w:rsidP="009D473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Activités</w:t>
      </w:r>
      <w:r w:rsidR="009D473B">
        <w:rPr>
          <w:rFonts w:ascii="Cambria" w:hAnsi="Cambria"/>
          <w:b/>
          <w:bCs/>
          <w:sz w:val="24"/>
          <w:szCs w:val="24"/>
        </w:rPr>
        <w:t> :</w:t>
      </w:r>
    </w:p>
    <w:p w:rsidR="00073B8F" w:rsidRPr="00F50573" w:rsidRDefault="00073B8F" w:rsidP="009D473B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d’a</w:t>
      </w:r>
      <w:r w:rsidRPr="00F50573">
        <w:rPr>
          <w:rFonts w:ascii="Times New Roman" w:hAnsi="Times New Roman" w:cs="Times New Roman"/>
          <w:sz w:val="24"/>
          <w:szCs w:val="24"/>
        </w:rPr>
        <w:t>telier de partage de la stratégie au niveau central (5 ONG/AREF) (30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573">
        <w:rPr>
          <w:rFonts w:ascii="Times New Roman" w:hAnsi="Times New Roman" w:cs="Times New Roman"/>
          <w:sz w:val="24"/>
          <w:szCs w:val="24"/>
        </w:rPr>
        <w:t>Per/</w:t>
      </w:r>
      <w:r w:rsidR="009D473B">
        <w:rPr>
          <w:rFonts w:ascii="Times New Roman" w:hAnsi="Times New Roman" w:cs="Times New Roman"/>
          <w:sz w:val="24"/>
          <w:szCs w:val="24"/>
        </w:rPr>
        <w:t>3</w:t>
      </w:r>
      <w:r w:rsidRPr="00F50573">
        <w:rPr>
          <w:rFonts w:ascii="Times New Roman" w:hAnsi="Times New Roman" w:cs="Times New Roman"/>
          <w:sz w:val="24"/>
          <w:szCs w:val="24"/>
        </w:rPr>
        <w:t xml:space="preserve"> Jours)</w:t>
      </w:r>
    </w:p>
    <w:p w:rsidR="00073B8F" w:rsidRPr="00F50573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formation des animateurs (consultant + ateliers de formation au niveau régional (60 Per/3 Jours)</w:t>
      </w:r>
      <w:r>
        <w:rPr>
          <w:rFonts w:ascii="Times New Roman" w:hAnsi="Times New Roman" w:cs="Times New Roman"/>
          <w:sz w:val="24"/>
          <w:szCs w:val="24"/>
        </w:rPr>
        <w:t xml:space="preserve"> en a</w:t>
      </w:r>
      <w:r w:rsidRPr="00F50573">
        <w:rPr>
          <w:rFonts w:ascii="Times New Roman" w:hAnsi="Times New Roman" w:cs="Times New Roman"/>
          <w:sz w:val="24"/>
          <w:szCs w:val="24"/>
        </w:rPr>
        <w:t>ppui au montage de projet intégrant le PPI </w:t>
      </w:r>
    </w:p>
    <w:p w:rsidR="00073B8F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 xml:space="preserve">Mise en œuvre de projets d’intégration du PPI par les </w:t>
      </w:r>
      <w:proofErr w:type="spellStart"/>
      <w:r w:rsidRPr="00F50573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Pr="00F50573">
        <w:rPr>
          <w:rFonts w:ascii="Times New Roman" w:hAnsi="Times New Roman" w:cs="Times New Roman"/>
          <w:sz w:val="24"/>
          <w:szCs w:val="24"/>
        </w:rPr>
        <w:t xml:space="preserve"> «engagées dans la conduite du projet</w:t>
      </w:r>
      <w:r w:rsidR="005E1EFD" w:rsidRPr="005E1EFD">
        <w:rPr>
          <w:rFonts w:ascii="Times New Roman" w:hAnsi="Times New Roman" w:cs="Times New Roman"/>
          <w:sz w:val="24"/>
          <w:szCs w:val="24"/>
        </w:rPr>
        <w:t xml:space="preserve"> </w:t>
      </w:r>
      <w:r w:rsidR="005E1EFD" w:rsidRPr="00F50573">
        <w:rPr>
          <w:rFonts w:ascii="Times New Roman" w:hAnsi="Times New Roman" w:cs="Times New Roman"/>
          <w:sz w:val="24"/>
          <w:szCs w:val="24"/>
        </w:rPr>
        <w:t>PPI </w:t>
      </w:r>
      <w:r w:rsidRPr="00F50573">
        <w:rPr>
          <w:rFonts w:ascii="Times New Roman" w:hAnsi="Times New Roman" w:cs="Times New Roman"/>
          <w:sz w:val="24"/>
          <w:szCs w:val="24"/>
        </w:rPr>
        <w:t>»</w:t>
      </w:r>
    </w:p>
    <w:p w:rsidR="00073B8F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d’un a</w:t>
      </w:r>
      <w:r w:rsidRPr="00073B8F">
        <w:rPr>
          <w:rFonts w:ascii="Times New Roman" w:hAnsi="Times New Roman" w:cs="Times New Roman"/>
          <w:sz w:val="24"/>
          <w:szCs w:val="24"/>
        </w:rPr>
        <w:t>telier de restitution au niveau d’une AREF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3B8F">
        <w:rPr>
          <w:rFonts w:ascii="Times New Roman" w:hAnsi="Times New Roman" w:cs="Times New Roman"/>
          <w:sz w:val="24"/>
          <w:szCs w:val="24"/>
        </w:rPr>
        <w:t>0 Per/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3B8F">
        <w:rPr>
          <w:rFonts w:ascii="Times New Roman" w:hAnsi="Times New Roman" w:cs="Times New Roman"/>
          <w:sz w:val="24"/>
          <w:szCs w:val="24"/>
        </w:rPr>
        <w:t xml:space="preserve"> Jours)</w:t>
      </w:r>
    </w:p>
    <w:p w:rsid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01B" w:rsidRP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B8F" w:rsidRPr="002C659D" w:rsidRDefault="00073B8F" w:rsidP="005E1EFD">
      <w:pPr>
        <w:spacing w:after="0" w:line="240" w:lineRule="auto"/>
        <w:jc w:val="right"/>
        <w:rPr>
          <w:color w:val="000000"/>
          <w:sz w:val="8"/>
          <w:szCs w:val="8"/>
          <w:lang w:bidi="ar-MA"/>
        </w:rPr>
      </w:pPr>
    </w:p>
    <w:p w:rsidR="00CA360B" w:rsidRPr="009E5D41" w:rsidRDefault="00CA360B" w:rsidP="002C659D">
      <w:pPr>
        <w:spacing w:after="0" w:line="240" w:lineRule="auto"/>
        <w:ind w:left="360"/>
        <w:rPr>
          <w:color w:val="000000"/>
          <w:sz w:val="4"/>
          <w:szCs w:val="4"/>
          <w:lang w:bidi="ar-MA"/>
        </w:rPr>
      </w:pPr>
    </w:p>
    <w:p w:rsidR="003E1756" w:rsidRPr="00073B8F" w:rsidRDefault="00CA360B" w:rsidP="00073B8F">
      <w:pPr>
        <w:numPr>
          <w:ilvl w:val="0"/>
          <w:numId w:val="25"/>
        </w:num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  <w:r w:rsidRPr="00073B8F">
        <w:rPr>
          <w:b/>
          <w:bCs/>
          <w:color w:val="000000"/>
          <w:sz w:val="28"/>
          <w:szCs w:val="28"/>
          <w:u w:val="single"/>
          <w:lang w:bidi="ar-MA"/>
        </w:rPr>
        <w:lastRenderedPageBreak/>
        <w:t xml:space="preserve">Projet </w:t>
      </w:r>
      <w:r w:rsidR="005E1EFD">
        <w:rPr>
          <w:b/>
          <w:bCs/>
          <w:color w:val="000000"/>
          <w:sz w:val="28"/>
          <w:szCs w:val="28"/>
          <w:u w:val="single"/>
          <w:lang w:bidi="ar-MA"/>
        </w:rPr>
        <w:t xml:space="preserve">de </w:t>
      </w:r>
      <w:r w:rsidR="003E1756" w:rsidRPr="00073B8F">
        <w:rPr>
          <w:b/>
          <w:bCs/>
          <w:color w:val="000000"/>
          <w:sz w:val="28"/>
          <w:szCs w:val="28"/>
          <w:u w:val="single"/>
          <w:lang w:bidi="ar-MA"/>
        </w:rPr>
        <w:t xml:space="preserve">lutte contre le décrochage scolaire et le redoublement </w:t>
      </w:r>
    </w:p>
    <w:p w:rsidR="009E5D41" w:rsidRPr="002C659D" w:rsidRDefault="009E5D41" w:rsidP="005E1EFD">
      <w:pPr>
        <w:spacing w:after="0" w:line="240" w:lineRule="auto"/>
        <w:ind w:left="360"/>
        <w:rPr>
          <w:color w:val="000000"/>
          <w:sz w:val="8"/>
          <w:szCs w:val="8"/>
          <w:lang w:bidi="ar-MA"/>
        </w:rPr>
      </w:pPr>
      <w:r w:rsidRPr="00073B8F">
        <w:rPr>
          <w:rFonts w:ascii="Times New Roman" w:hAnsi="Times New Roman" w:cs="Times New Roman"/>
          <w:sz w:val="24"/>
          <w:szCs w:val="24"/>
        </w:rPr>
        <w:t xml:space="preserve">Suite de l’étude de </w:t>
      </w:r>
      <w:r w:rsidR="00073B8F">
        <w:rPr>
          <w:rFonts w:ascii="Times New Roman" w:hAnsi="Times New Roman" w:cs="Times New Roman"/>
          <w:sz w:val="24"/>
          <w:szCs w:val="24"/>
        </w:rPr>
        <w:t>cas «</w:t>
      </w:r>
      <w:r w:rsidR="00073B8F" w:rsidRPr="009E3998">
        <w:rPr>
          <w:rFonts w:ascii="Cambria" w:hAnsi="Cambria"/>
          <w:sz w:val="24"/>
          <w:szCs w:val="24"/>
        </w:rPr>
        <w:t xml:space="preserve">suivi </w:t>
      </w:r>
      <w:r w:rsidR="00073B8F">
        <w:rPr>
          <w:rFonts w:ascii="Cambria" w:hAnsi="Cambria"/>
          <w:sz w:val="24"/>
          <w:szCs w:val="24"/>
        </w:rPr>
        <w:t>de l’étude sur la lutte contre le décrochage scolaire et le redoublement »</w:t>
      </w:r>
    </w:p>
    <w:p w:rsidR="009E5D41" w:rsidRPr="009E5D41" w:rsidRDefault="00D4097C" w:rsidP="00D4097C">
      <w:pPr>
        <w:spacing w:after="0" w:line="240" w:lineRule="auto"/>
        <w:ind w:left="1418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Activités</w:t>
      </w:r>
      <w:r w:rsidR="009E5D41" w:rsidRPr="00CA360B">
        <w:rPr>
          <w:rFonts w:ascii="Cambria" w:hAnsi="Cambria"/>
          <w:b/>
          <w:bCs/>
          <w:sz w:val="24"/>
          <w:szCs w:val="24"/>
        </w:rPr>
        <w:t> :</w:t>
      </w:r>
    </w:p>
    <w:p w:rsidR="00073B8F" w:rsidRPr="00451B3E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3E">
        <w:rPr>
          <w:rFonts w:ascii="Times New Roman" w:hAnsi="Times New Roman" w:cs="Times New Roman"/>
          <w:sz w:val="24"/>
          <w:szCs w:val="24"/>
        </w:rPr>
        <w:t xml:space="preserve">Élaboration d’un module de formation </w:t>
      </w:r>
      <w:r>
        <w:rPr>
          <w:rFonts w:ascii="Times New Roman" w:hAnsi="Times New Roman" w:cs="Times New Roman"/>
          <w:sz w:val="24"/>
          <w:szCs w:val="24"/>
        </w:rPr>
        <w:t>sur</w:t>
      </w:r>
      <w:r w:rsidRPr="00451B3E">
        <w:rPr>
          <w:rFonts w:ascii="Times New Roman" w:hAnsi="Times New Roman" w:cs="Times New Roman"/>
          <w:sz w:val="24"/>
          <w:szCs w:val="24"/>
        </w:rPr>
        <w:t xml:space="preserve"> les stratégies et les pratique visant à prévenir le décrochage scolaire ;</w:t>
      </w:r>
    </w:p>
    <w:p w:rsidR="00073B8F" w:rsidRPr="00451B3E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3E">
        <w:rPr>
          <w:rFonts w:ascii="Times New Roman" w:hAnsi="Times New Roman" w:cs="Times New Roman"/>
          <w:sz w:val="24"/>
          <w:szCs w:val="24"/>
        </w:rPr>
        <w:t>Élaboration d’un module de formation sur la méthodologie d’accompagnement des intervenants, de sensibilisation et de mobilisation des acteurs de l’école et de son environnement ;</w:t>
      </w:r>
    </w:p>
    <w:p w:rsidR="00073B8F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</w:rPr>
      </w:pPr>
      <w:r w:rsidRPr="00BF64B5">
        <w:rPr>
          <w:rFonts w:ascii="Times New Roman" w:hAnsi="Times New Roman" w:cs="Times New Roman"/>
        </w:rPr>
        <w:t xml:space="preserve">Formation </w:t>
      </w:r>
      <w:r>
        <w:rPr>
          <w:rFonts w:ascii="Times New Roman" w:hAnsi="Times New Roman" w:cs="Times New Roman"/>
        </w:rPr>
        <w:t xml:space="preserve">et accompagnement </w:t>
      </w:r>
      <w:r w:rsidRPr="00BF64B5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chefs de service, des inspecteurs et des membres d’ONG sur les outils et les bonnes pratiques ;</w:t>
      </w:r>
    </w:p>
    <w:p w:rsidR="00073B8F" w:rsidRPr="00BF64B5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</w:rPr>
      </w:pPr>
      <w:r w:rsidRPr="00BF64B5">
        <w:rPr>
          <w:rFonts w:ascii="Times New Roman" w:hAnsi="Times New Roman" w:cs="Times New Roman"/>
        </w:rPr>
        <w:t xml:space="preserve">Formation et </w:t>
      </w:r>
      <w:r>
        <w:rPr>
          <w:rFonts w:ascii="Times New Roman" w:hAnsi="Times New Roman" w:cs="Times New Roman"/>
        </w:rPr>
        <w:t>accompagnement d</w:t>
      </w:r>
      <w:r w:rsidRPr="00BF64B5">
        <w:rPr>
          <w:rFonts w:ascii="Times New Roman" w:hAnsi="Times New Roman" w:cs="Times New Roman"/>
        </w:rPr>
        <w:t>es établissements scolaires (membre des cellules de veille, enseignants, ONG</w:t>
      </w:r>
      <w:r>
        <w:rPr>
          <w:rFonts w:ascii="Times New Roman" w:hAnsi="Times New Roman" w:cs="Times New Roman"/>
        </w:rPr>
        <w:t>, collectivités locales, APTE..) dans la mise en œuvre des outils et des bonnes pratiques;</w:t>
      </w:r>
    </w:p>
    <w:p w:rsidR="00073B8F" w:rsidRDefault="00073B8F" w:rsidP="00073B8F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</w:rPr>
      </w:pPr>
      <w:r w:rsidRPr="00BF64B5">
        <w:rPr>
          <w:rFonts w:ascii="Times New Roman" w:hAnsi="Times New Roman" w:cs="Times New Roman"/>
        </w:rPr>
        <w:t>Suivi de la mise en place du projet par la DENF – service régionaux et provinciaux / UNICEF</w:t>
      </w:r>
    </w:p>
    <w:p w:rsidR="00073B8F" w:rsidRDefault="00073B8F" w:rsidP="00073B8F">
      <w:pPr>
        <w:pStyle w:val="Paragraphedeliste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073B8F" w:rsidRPr="009D473B" w:rsidRDefault="009D473B" w:rsidP="004100BE">
      <w:pPr>
        <w:numPr>
          <w:ilvl w:val="0"/>
          <w:numId w:val="25"/>
        </w:numPr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bidi="ar-MA"/>
        </w:rPr>
      </w:pPr>
      <w:r w:rsidRPr="009D473B">
        <w:rPr>
          <w:b/>
          <w:bCs/>
          <w:color w:val="000000"/>
          <w:sz w:val="28"/>
          <w:szCs w:val="28"/>
          <w:u w:val="single"/>
          <w:lang w:bidi="ar-MA"/>
        </w:rPr>
        <w:t>Élaboration du dispositif pédagogique à mettre en place dans les centres socioéducatifs et de formation des animateurs</w:t>
      </w:r>
    </w:p>
    <w:p w:rsidR="009D473B" w:rsidRDefault="009D473B" w:rsidP="009D473B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Rédaction des TDR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B" w:rsidRDefault="009D473B" w:rsidP="009D473B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3B">
        <w:rPr>
          <w:rFonts w:ascii="Times New Roman" w:hAnsi="Times New Roman" w:cs="Times New Roman"/>
          <w:sz w:val="24"/>
          <w:szCs w:val="24"/>
        </w:rPr>
        <w:t xml:space="preserve">Lancement d’une consultation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9D473B">
        <w:rPr>
          <w:rFonts w:ascii="Times New Roman" w:hAnsi="Times New Roman" w:cs="Times New Roman"/>
          <w:sz w:val="24"/>
          <w:szCs w:val="24"/>
        </w:rPr>
        <w:t xml:space="preserve">Benchmark international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9D473B">
        <w:rPr>
          <w:rFonts w:ascii="Times New Roman" w:hAnsi="Times New Roman" w:cs="Times New Roman"/>
          <w:sz w:val="24"/>
          <w:szCs w:val="24"/>
        </w:rPr>
        <w:t>pour le développent du projet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473B">
        <w:rPr>
          <w:rFonts w:ascii="Times New Roman" w:hAnsi="Times New Roman" w:cs="Times New Roman"/>
          <w:sz w:val="24"/>
          <w:szCs w:val="24"/>
        </w:rPr>
        <w:t xml:space="preserve"> centres ENF</w:t>
      </w:r>
    </w:p>
    <w:p w:rsid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01B" w:rsidRPr="003F601B" w:rsidRDefault="003F601B" w:rsidP="003F6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168" w:rsidRDefault="003F601B" w:rsidP="004100BE">
      <w:pPr>
        <w:numPr>
          <w:ilvl w:val="0"/>
          <w:numId w:val="25"/>
        </w:numPr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bidi="ar-MA"/>
        </w:rPr>
      </w:pPr>
      <w:r w:rsidRPr="003F601B">
        <w:rPr>
          <w:b/>
          <w:bCs/>
          <w:color w:val="000000"/>
          <w:sz w:val="28"/>
          <w:szCs w:val="28"/>
          <w:u w:val="single"/>
          <w:lang w:bidi="ar-MA"/>
        </w:rPr>
        <w:t>Partage des expériences réussies en matière des écoles de la 2</w:t>
      </w:r>
      <w:r w:rsidRPr="003F601B">
        <w:rPr>
          <w:b/>
          <w:bCs/>
          <w:color w:val="000000"/>
          <w:sz w:val="28"/>
          <w:szCs w:val="28"/>
          <w:u w:val="single"/>
          <w:vertAlign w:val="superscript"/>
          <w:lang w:bidi="ar-MA"/>
        </w:rPr>
        <w:t>ème</w:t>
      </w:r>
      <w:r w:rsidRPr="003F601B">
        <w:rPr>
          <w:b/>
          <w:bCs/>
          <w:color w:val="000000"/>
          <w:sz w:val="28"/>
          <w:szCs w:val="28"/>
          <w:u w:val="single"/>
          <w:lang w:bidi="ar-MA"/>
        </w:rPr>
        <w:t xml:space="preserve"> chance dans le cadre d’une coopération SUD-SUD</w:t>
      </w:r>
    </w:p>
    <w:p w:rsidR="004100BE" w:rsidRDefault="004100BE" w:rsidP="004100BE">
      <w:pPr>
        <w:pStyle w:val="Paragraphedeliste"/>
        <w:numPr>
          <w:ilvl w:val="0"/>
          <w:numId w:val="39"/>
        </w:numPr>
        <w:spacing w:after="0" w:line="240" w:lineRule="auto"/>
        <w:ind w:left="317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573">
        <w:rPr>
          <w:rFonts w:ascii="Times New Roman" w:hAnsi="Times New Roman" w:cs="Times New Roman"/>
          <w:sz w:val="24"/>
          <w:szCs w:val="24"/>
        </w:rPr>
        <w:t>Rédaction des TDR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1B" w:rsidRDefault="003F601B" w:rsidP="003F601B">
      <w:p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</w:p>
    <w:p w:rsidR="003F601B" w:rsidRPr="003F601B" w:rsidRDefault="003F601B" w:rsidP="003F601B">
      <w:pPr>
        <w:spacing w:after="0" w:line="240" w:lineRule="auto"/>
        <w:rPr>
          <w:b/>
          <w:bCs/>
          <w:color w:val="000000"/>
          <w:sz w:val="28"/>
          <w:szCs w:val="28"/>
          <w:u w:val="single"/>
          <w:lang w:bidi="ar-MA"/>
        </w:rPr>
      </w:pPr>
    </w:p>
    <w:p w:rsidR="001B2168" w:rsidRPr="001B2168" w:rsidRDefault="001B2168" w:rsidP="004100BE">
      <w:pPr>
        <w:numPr>
          <w:ilvl w:val="0"/>
          <w:numId w:val="25"/>
        </w:numPr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bidi="ar-MA"/>
        </w:rPr>
      </w:pPr>
      <w:r w:rsidRPr="001B2168">
        <w:rPr>
          <w:b/>
          <w:bCs/>
          <w:color w:val="000000"/>
          <w:sz w:val="28"/>
          <w:szCs w:val="28"/>
          <w:u w:val="single"/>
          <w:lang w:bidi="ar-MA"/>
        </w:rPr>
        <w:t>Éditer, diff</w:t>
      </w:r>
      <w:r w:rsidR="003F601B">
        <w:rPr>
          <w:b/>
          <w:bCs/>
          <w:color w:val="000000"/>
          <w:sz w:val="28"/>
          <w:szCs w:val="28"/>
          <w:u w:val="single"/>
          <w:lang w:bidi="ar-MA"/>
        </w:rPr>
        <w:t>user et communiquer autour des</w:t>
      </w:r>
      <w:r w:rsidRPr="001B2168">
        <w:rPr>
          <w:b/>
          <w:bCs/>
          <w:color w:val="000000"/>
          <w:sz w:val="28"/>
          <w:szCs w:val="28"/>
          <w:u w:val="single"/>
          <w:lang w:bidi="ar-MA"/>
        </w:rPr>
        <w:t xml:space="preserve"> productions concernant la DENF (</w:t>
      </w:r>
      <w:r w:rsidR="003F601B">
        <w:rPr>
          <w:b/>
          <w:bCs/>
          <w:color w:val="000000"/>
          <w:sz w:val="28"/>
          <w:szCs w:val="28"/>
          <w:u w:val="single"/>
          <w:lang w:bidi="ar-MA"/>
        </w:rPr>
        <w:t xml:space="preserve">rapport étude de cas, bonnes pratiques, </w:t>
      </w:r>
      <w:r w:rsidRPr="001B2168">
        <w:rPr>
          <w:b/>
          <w:bCs/>
          <w:color w:val="000000"/>
          <w:sz w:val="28"/>
          <w:szCs w:val="28"/>
          <w:u w:val="single"/>
          <w:lang w:bidi="ar-MA"/>
        </w:rPr>
        <w:t>projet personnel, référentiel qualité)</w:t>
      </w:r>
    </w:p>
    <w:p w:rsidR="00073B8F" w:rsidRPr="00BF64B5" w:rsidRDefault="00073B8F" w:rsidP="00073B8F">
      <w:pPr>
        <w:pStyle w:val="Paragraphedeliste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3F601B" w:rsidRDefault="003F601B" w:rsidP="005B3BC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F601B" w:rsidRDefault="003F601B" w:rsidP="005B3BC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33E7A" w:rsidRDefault="005B3BC9" w:rsidP="005B3BC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A33E7A">
        <w:rPr>
          <w:rFonts w:ascii="Cambria" w:hAnsi="Cambria"/>
          <w:sz w:val="24"/>
          <w:szCs w:val="24"/>
        </w:rPr>
        <w:lastRenderedPageBreak/>
        <w:t>Tableau récapitulatif des différentes actions programmées</w:t>
      </w:r>
    </w:p>
    <w:p w:rsidR="00A33E7A" w:rsidRDefault="00A33E7A" w:rsidP="005B3BC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3E7A">
        <w:rPr>
          <w:rFonts w:ascii="Cambria" w:hAnsi="Cambria"/>
          <w:sz w:val="24"/>
          <w:szCs w:val="24"/>
        </w:rPr>
        <w:t>DENF UNICEF</w:t>
      </w:r>
    </w:p>
    <w:p w:rsidR="00A33E7A" w:rsidRDefault="00A33E7A" w:rsidP="00A33E7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estimatif et chronogramme prévu</w:t>
      </w:r>
    </w:p>
    <w:p w:rsidR="00A33E7A" w:rsidRDefault="00A33E7A" w:rsidP="00A33E7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3E7A">
        <w:rPr>
          <w:rFonts w:ascii="Cambria" w:hAnsi="Cambria"/>
          <w:sz w:val="24"/>
          <w:szCs w:val="24"/>
        </w:rPr>
        <w:t>Année 2011-2012</w:t>
      </w:r>
    </w:p>
    <w:p w:rsidR="00A33E7A" w:rsidRPr="00A33E7A" w:rsidRDefault="00A33E7A" w:rsidP="00A33E7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387"/>
        <w:gridCol w:w="1559"/>
        <w:gridCol w:w="709"/>
        <w:gridCol w:w="850"/>
      </w:tblGrid>
      <w:tr w:rsidR="003B6602" w:rsidRPr="001B34F7" w:rsidTr="004A0020">
        <w:tc>
          <w:tcPr>
            <w:tcW w:w="2269" w:type="dxa"/>
            <w:vAlign w:val="center"/>
          </w:tcPr>
          <w:p w:rsidR="003B6602" w:rsidRPr="001B34F7" w:rsidRDefault="002C659D" w:rsidP="00310880">
            <w:pPr>
              <w:spacing w:after="0" w:line="240" w:lineRule="auto"/>
              <w:rPr>
                <w:rFonts w:cs="Simplified Arabic"/>
                <w:b/>
                <w:bCs/>
                <w:color w:val="00000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lang w:bidi="ar-MA"/>
              </w:rPr>
              <w:t>Axe d’intervention</w:t>
            </w:r>
          </w:p>
        </w:tc>
        <w:tc>
          <w:tcPr>
            <w:tcW w:w="5387" w:type="dxa"/>
            <w:vMerge w:val="restart"/>
            <w:vAlign w:val="center"/>
          </w:tcPr>
          <w:p w:rsidR="003B6602" w:rsidRPr="001B34F7" w:rsidRDefault="003B6602" w:rsidP="00310880">
            <w:pPr>
              <w:spacing w:after="0" w:line="240" w:lineRule="auto"/>
              <w:rPr>
                <w:rFonts w:cs="Simplified Arabic"/>
                <w:b/>
                <w:bCs/>
                <w:color w:val="00000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lang w:bidi="ar-MA"/>
              </w:rPr>
              <w:t>Activités</w:t>
            </w:r>
          </w:p>
        </w:tc>
        <w:tc>
          <w:tcPr>
            <w:tcW w:w="1559" w:type="dxa"/>
            <w:vMerge w:val="restart"/>
            <w:vAlign w:val="bottom"/>
          </w:tcPr>
          <w:p w:rsidR="003B6602" w:rsidRPr="001B34F7" w:rsidRDefault="003B6602" w:rsidP="004A0020">
            <w:pPr>
              <w:spacing w:after="0" w:line="240" w:lineRule="auto"/>
              <w:ind w:right="176"/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Budget estimatif</w:t>
            </w:r>
            <w:r w:rsidR="002C659D"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 xml:space="preserve"> (</w:t>
            </w:r>
            <w:proofErr w:type="spellStart"/>
            <w:r w:rsidR="002C659D"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dh</w:t>
            </w:r>
            <w:proofErr w:type="spellEnd"/>
            <w:r w:rsidR="002C659D"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)</w:t>
            </w:r>
          </w:p>
        </w:tc>
        <w:tc>
          <w:tcPr>
            <w:tcW w:w="1559" w:type="dxa"/>
            <w:gridSpan w:val="2"/>
          </w:tcPr>
          <w:p w:rsidR="003B6602" w:rsidRPr="001B34F7" w:rsidRDefault="003B6602" w:rsidP="00310880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Chronogramme</w:t>
            </w:r>
          </w:p>
        </w:tc>
      </w:tr>
      <w:tr w:rsidR="003B6602" w:rsidRPr="001B34F7" w:rsidTr="004A0020">
        <w:tc>
          <w:tcPr>
            <w:tcW w:w="2269" w:type="dxa"/>
            <w:vMerge w:val="restart"/>
            <w:vAlign w:val="center"/>
          </w:tcPr>
          <w:p w:rsidR="003B6602" w:rsidRPr="001B34F7" w:rsidRDefault="003B6602" w:rsidP="004A002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>Plaidoyer</w:t>
            </w:r>
          </w:p>
          <w:p w:rsidR="003B6602" w:rsidRPr="001B34F7" w:rsidRDefault="003B6602" w:rsidP="004A002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>Développement de stratégies, de mécanismes et d'instruments/outils de plaidoyer et de communication pour atteindre les différentes populations</w:t>
            </w:r>
          </w:p>
        </w:tc>
        <w:tc>
          <w:tcPr>
            <w:tcW w:w="5387" w:type="dxa"/>
            <w:vMerge/>
            <w:vAlign w:val="center"/>
          </w:tcPr>
          <w:p w:rsidR="003B6602" w:rsidRPr="001B34F7" w:rsidRDefault="003B6602" w:rsidP="00310880">
            <w:pPr>
              <w:spacing w:after="0" w:line="240" w:lineRule="auto"/>
              <w:rPr>
                <w:rFonts w:cs="Simplified Arabic"/>
                <w:color w:val="000000"/>
                <w:lang w:bidi="ar-MA"/>
              </w:rPr>
            </w:pPr>
          </w:p>
        </w:tc>
        <w:tc>
          <w:tcPr>
            <w:tcW w:w="1559" w:type="dxa"/>
            <w:vMerge/>
            <w:vAlign w:val="bottom"/>
          </w:tcPr>
          <w:p w:rsidR="003B6602" w:rsidRPr="001B34F7" w:rsidRDefault="003B6602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3B6602" w:rsidRPr="001B34F7" w:rsidRDefault="003B6602" w:rsidP="00310880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De :…</w:t>
            </w:r>
          </w:p>
        </w:tc>
        <w:tc>
          <w:tcPr>
            <w:tcW w:w="850" w:type="dxa"/>
          </w:tcPr>
          <w:p w:rsidR="003B6602" w:rsidRPr="001B34F7" w:rsidRDefault="003B6602" w:rsidP="00310880">
            <w:pPr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b/>
                <w:bCs/>
                <w:color w:val="000000"/>
                <w:sz w:val="20"/>
                <w:szCs w:val="20"/>
                <w:lang w:bidi="ar-MA"/>
              </w:rPr>
              <w:t>A : …</w:t>
            </w:r>
          </w:p>
        </w:tc>
      </w:tr>
      <w:tr w:rsidR="00752BEA" w:rsidRPr="001B34F7" w:rsidTr="004A0020">
        <w:tc>
          <w:tcPr>
            <w:tcW w:w="2269" w:type="dxa"/>
            <w:vMerge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5B3BC9" w:rsidRPr="001B34F7" w:rsidRDefault="005B3BC9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Organiser des ateliers instituant des groupes d’influence actifs en faveur de l’ENF ;</w:t>
            </w:r>
          </w:p>
          <w:p w:rsidR="005B3BC9" w:rsidRPr="001B34F7" w:rsidRDefault="005B3BC9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 xml:space="preserve">parlementaires </w:t>
            </w:r>
            <w:r w:rsidR="00451B3E" w:rsidRPr="001B34F7">
              <w:rPr>
                <w:rFonts w:cs="Simplified Arabic"/>
              </w:rPr>
              <w:t>et élus</w:t>
            </w:r>
            <w:r w:rsidRPr="001B34F7">
              <w:rPr>
                <w:rFonts w:cs="Simplified Arabic"/>
              </w:rPr>
              <w:t xml:space="preserve"> régionaux, </w:t>
            </w:r>
          </w:p>
          <w:p w:rsidR="005B3BC9" w:rsidRPr="001B34F7" w:rsidRDefault="005B3BC9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groupes des médias ONG, artistes, etc</w:t>
            </w:r>
            <w:r w:rsidR="001B34F7" w:rsidRPr="001B34F7">
              <w:rPr>
                <w:rFonts w:cs="Simplified Arabic"/>
              </w:rPr>
              <w:t>.)</w:t>
            </w:r>
            <w:r w:rsidRPr="001B34F7">
              <w:rPr>
                <w:rFonts w:cs="Simplified Arabic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B3BC9" w:rsidRPr="001B34F7" w:rsidRDefault="005B3BC9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5B3BC9" w:rsidRPr="001B34F7" w:rsidRDefault="005B3BC9" w:rsidP="00310880">
            <w:pPr>
              <w:spacing w:after="0" w:line="240" w:lineRule="auto"/>
              <w:jc w:val="center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752BEA" w:rsidRPr="001B34F7" w:rsidTr="004A0020">
        <w:trPr>
          <w:trHeight w:val="678"/>
        </w:trPr>
        <w:tc>
          <w:tcPr>
            <w:tcW w:w="2269" w:type="dxa"/>
            <w:vMerge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5B3BC9" w:rsidRPr="001B34F7" w:rsidRDefault="00D4097C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organisation d</w:t>
            </w:r>
            <w:r w:rsidR="005B3BC9" w:rsidRPr="001B34F7">
              <w:rPr>
                <w:rFonts w:cs="Simplified Arabic"/>
              </w:rPr>
              <w:t>e</w:t>
            </w:r>
            <w:r w:rsidRPr="001B34F7">
              <w:rPr>
                <w:rFonts w:cs="Simplified Arabic"/>
              </w:rPr>
              <w:t xml:space="preserve"> </w:t>
            </w:r>
            <w:r w:rsidR="005B3BC9" w:rsidRPr="001B34F7">
              <w:rPr>
                <w:rFonts w:cs="Simplified Arabic"/>
              </w:rPr>
              <w:t>3 séminaires pour sensibiliser et mobiliser les acteurs au niveau régional et local et pour permettre l’ancrage des programmes de l’ENF localement</w:t>
            </w:r>
          </w:p>
        </w:tc>
        <w:tc>
          <w:tcPr>
            <w:tcW w:w="1559" w:type="dxa"/>
            <w:vAlign w:val="bottom"/>
          </w:tcPr>
          <w:p w:rsidR="005B3BC9" w:rsidRPr="001B34F7" w:rsidRDefault="005B3BC9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752BEA" w:rsidRPr="001B34F7" w:rsidTr="004A0020">
        <w:tc>
          <w:tcPr>
            <w:tcW w:w="2269" w:type="dxa"/>
            <w:vMerge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Organiser des campagnes de communications (radio et tété),</w:t>
            </w:r>
          </w:p>
        </w:tc>
        <w:tc>
          <w:tcPr>
            <w:tcW w:w="1559" w:type="dxa"/>
            <w:vAlign w:val="bottom"/>
          </w:tcPr>
          <w:p w:rsidR="005B3BC9" w:rsidRPr="001B34F7" w:rsidRDefault="005B3BC9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752BEA" w:rsidRPr="001B34F7" w:rsidTr="004A0020">
        <w:tc>
          <w:tcPr>
            <w:tcW w:w="2269" w:type="dxa"/>
            <w:vMerge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élaborer et éditer les supports pertinents et adéquats (message radio et télé, dépliants, brochures, affiches, etc.) </w:t>
            </w:r>
          </w:p>
        </w:tc>
        <w:tc>
          <w:tcPr>
            <w:tcW w:w="1559" w:type="dxa"/>
            <w:vAlign w:val="bottom"/>
          </w:tcPr>
          <w:p w:rsidR="005B3BC9" w:rsidRPr="001B34F7" w:rsidRDefault="005B3BC9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752BEA" w:rsidRPr="001B34F7" w:rsidTr="004A0020">
        <w:tc>
          <w:tcPr>
            <w:tcW w:w="2269" w:type="dxa"/>
            <w:vMerge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Encouragement de l'excellence en ENF. (prix, certificats d'excellence, etc.).</w:t>
            </w:r>
          </w:p>
        </w:tc>
        <w:tc>
          <w:tcPr>
            <w:tcW w:w="1559" w:type="dxa"/>
            <w:vAlign w:val="bottom"/>
          </w:tcPr>
          <w:p w:rsidR="005B3BC9" w:rsidRPr="001B34F7" w:rsidRDefault="005B3BC9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5B3BC9" w:rsidRPr="001B34F7" w:rsidRDefault="005B3BC9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2C659D" w:rsidRPr="001B34F7" w:rsidTr="004A0020">
        <w:tc>
          <w:tcPr>
            <w:tcW w:w="2269" w:type="dxa"/>
            <w:vMerge w:val="restart"/>
            <w:vAlign w:val="center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 xml:space="preserve">Projet qualité de l’ENF </w:t>
            </w:r>
          </w:p>
          <w:p w:rsidR="0064755F" w:rsidRPr="001B34F7" w:rsidRDefault="0064755F" w:rsidP="00451B3E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>La continuité des actions entamées pour le développement de la qualité dans le domaine de l’ENF</w:t>
            </w:r>
          </w:p>
        </w:tc>
        <w:tc>
          <w:tcPr>
            <w:tcW w:w="5387" w:type="dxa"/>
            <w:vAlign w:val="center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 xml:space="preserve">Edition du « référentiel qualité de l’ENF  </w:t>
            </w:r>
          </w:p>
        </w:tc>
        <w:tc>
          <w:tcPr>
            <w:tcW w:w="1559" w:type="dxa"/>
            <w:vAlign w:val="bottom"/>
          </w:tcPr>
          <w:p w:rsidR="0064755F" w:rsidRPr="001B34F7" w:rsidRDefault="0064755F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2C659D" w:rsidRPr="001B34F7" w:rsidTr="004A0020">
        <w:tc>
          <w:tcPr>
            <w:tcW w:w="2269" w:type="dxa"/>
            <w:vMerge/>
            <w:vAlign w:val="center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64755F" w:rsidRPr="001B34F7" w:rsidRDefault="00451B3E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Mise en place</w:t>
            </w:r>
            <w:r w:rsidR="0064755F" w:rsidRPr="001B34F7">
              <w:rPr>
                <w:rFonts w:cs="Simplified Arabic"/>
              </w:rPr>
              <w:t xml:space="preserve"> du «référentiel qualité de l’ENF </w:t>
            </w:r>
          </w:p>
        </w:tc>
        <w:tc>
          <w:tcPr>
            <w:tcW w:w="1559" w:type="dxa"/>
            <w:vAlign w:val="bottom"/>
          </w:tcPr>
          <w:p w:rsidR="0064755F" w:rsidRPr="001B34F7" w:rsidRDefault="0064755F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3B6602" w:rsidRPr="001B34F7" w:rsidTr="004A0020">
        <w:tc>
          <w:tcPr>
            <w:tcW w:w="2269" w:type="dxa"/>
            <w:vMerge w:val="restart"/>
            <w:vAlign w:val="center"/>
          </w:tcPr>
          <w:p w:rsidR="0064755F" w:rsidRPr="004A0020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4A0020">
              <w:rPr>
                <w:rFonts w:cs="Simplified Arabic"/>
                <w:color w:val="000000"/>
                <w:sz w:val="20"/>
                <w:szCs w:val="20"/>
                <w:lang w:bidi="ar-MA"/>
              </w:rPr>
              <w:t>Insertion et suivi des insérés</w:t>
            </w:r>
          </w:p>
          <w:p w:rsidR="0064755F" w:rsidRPr="004A0020" w:rsidRDefault="0064755F" w:rsidP="001B34F7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4A0020">
              <w:rPr>
                <w:rFonts w:cs="Simplified Arabic"/>
                <w:color w:val="000000"/>
                <w:sz w:val="20"/>
                <w:szCs w:val="20"/>
                <w:lang w:bidi="ar-MA"/>
              </w:rPr>
              <w:t>La continuité des actions entamées pour le développement du PPI</w:t>
            </w:r>
          </w:p>
        </w:tc>
        <w:tc>
          <w:tcPr>
            <w:tcW w:w="5387" w:type="dxa"/>
            <w:vAlign w:val="center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Edition du rapport de l'étude sur le PPI</w:t>
            </w:r>
          </w:p>
        </w:tc>
        <w:tc>
          <w:tcPr>
            <w:tcW w:w="1559" w:type="dxa"/>
            <w:vAlign w:val="bottom"/>
          </w:tcPr>
          <w:p w:rsidR="0064755F" w:rsidRPr="001B34F7" w:rsidRDefault="0064755F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64755F" w:rsidRPr="001B34F7" w:rsidRDefault="0064755F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8D7CD6" w:rsidRPr="001B34F7" w:rsidTr="004A0020">
        <w:trPr>
          <w:trHeight w:val="258"/>
        </w:trPr>
        <w:tc>
          <w:tcPr>
            <w:tcW w:w="2269" w:type="dxa"/>
            <w:vMerge/>
            <w:vAlign w:val="center"/>
          </w:tcPr>
          <w:p w:rsidR="008D7CD6" w:rsidRPr="001B34F7" w:rsidRDefault="008D7CD6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8D7CD6" w:rsidRPr="001B34F7" w:rsidRDefault="008D7CD6" w:rsidP="00310880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Mise en pratique de la stratégie PPI</w:t>
            </w:r>
          </w:p>
        </w:tc>
        <w:tc>
          <w:tcPr>
            <w:tcW w:w="1559" w:type="dxa"/>
            <w:vAlign w:val="bottom"/>
          </w:tcPr>
          <w:p w:rsidR="008D7CD6" w:rsidRPr="001B34F7" w:rsidRDefault="008D7CD6" w:rsidP="008D7CD6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8D7CD6" w:rsidRPr="001B34F7" w:rsidRDefault="008D7CD6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8D7CD6" w:rsidRPr="001B34F7" w:rsidRDefault="008D7CD6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1B34F7" w:rsidRPr="001B34F7" w:rsidTr="004A0020">
        <w:trPr>
          <w:trHeight w:val="3810"/>
        </w:trPr>
        <w:tc>
          <w:tcPr>
            <w:tcW w:w="2269" w:type="dxa"/>
            <w:vAlign w:val="center"/>
          </w:tcPr>
          <w:p w:rsidR="001B34F7" w:rsidRPr="004A0020" w:rsidRDefault="001B34F7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4A0020">
              <w:rPr>
                <w:rFonts w:cs="Simplified Arabic"/>
                <w:color w:val="000000"/>
                <w:sz w:val="20"/>
                <w:szCs w:val="20"/>
                <w:lang w:bidi="ar-MA"/>
              </w:rPr>
              <w:t xml:space="preserve">Accompagnement des bassins scolaires pour la mise en œuvre des outils issus de l’étude sur la lutte contre le décrochage et l’abandon scolaire et documentation du processus </w:t>
            </w:r>
          </w:p>
        </w:tc>
        <w:tc>
          <w:tcPr>
            <w:tcW w:w="5387" w:type="dxa"/>
            <w:vAlign w:val="center"/>
          </w:tcPr>
          <w:p w:rsidR="001B34F7" w:rsidRPr="001B34F7" w:rsidRDefault="001B34F7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Élaboration d’un module de formation sur les stratégies et les pratique visant à prévenir le décrochage scolaire ;</w:t>
            </w:r>
          </w:p>
          <w:p w:rsidR="001B34F7" w:rsidRPr="001B34F7" w:rsidRDefault="001B34F7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Élaboration d’un module de formation sur la méthodologie d’accompagnement des intervenants, de sensibilisation et de mobilisation des acteurs de l’école et de son environnement ;</w:t>
            </w:r>
          </w:p>
          <w:p w:rsidR="001B34F7" w:rsidRPr="001B34F7" w:rsidRDefault="001B34F7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Formation et accompagnement des chefs de service, des inspecteurs et des membres d’ONG sur les outils et les bonnes pratiques ;</w:t>
            </w:r>
          </w:p>
          <w:p w:rsidR="001B34F7" w:rsidRPr="001B34F7" w:rsidRDefault="001B34F7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Formation et accompagnement des établissements scolaires (membre des cellules de veille, enseignants, ONG, collectivités locales, APTE..) dans la mise en œuvre des outils et des bonnes pratiques;</w:t>
            </w:r>
          </w:p>
          <w:p w:rsidR="001B34F7" w:rsidRPr="001B34F7" w:rsidRDefault="001B34F7" w:rsidP="001B34F7">
            <w:pPr>
              <w:spacing w:after="0" w:line="240" w:lineRule="auto"/>
              <w:rPr>
                <w:rFonts w:cs="Simplified Arabic"/>
              </w:rPr>
            </w:pPr>
            <w:r w:rsidRPr="001B34F7">
              <w:rPr>
                <w:rFonts w:cs="Simplified Arabic"/>
              </w:rPr>
              <w:t>Suivi de la mise en place du projet par la DENF – service régionaux et provinciaux / UNICEF</w:t>
            </w:r>
          </w:p>
        </w:tc>
        <w:tc>
          <w:tcPr>
            <w:tcW w:w="1559" w:type="dxa"/>
            <w:vAlign w:val="bottom"/>
          </w:tcPr>
          <w:p w:rsidR="001B34F7" w:rsidRPr="001B34F7" w:rsidRDefault="001B34F7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1B34F7" w:rsidRPr="001B34F7" w:rsidRDefault="001B34F7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1B34F7" w:rsidRPr="001B34F7" w:rsidRDefault="001B34F7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4A0020" w:rsidRPr="001B34F7" w:rsidTr="004100BE">
        <w:trPr>
          <w:trHeight w:val="1590"/>
        </w:trPr>
        <w:tc>
          <w:tcPr>
            <w:tcW w:w="2269" w:type="dxa"/>
            <w:vAlign w:val="center"/>
          </w:tcPr>
          <w:p w:rsidR="004A0020" w:rsidRPr="004A0020" w:rsidRDefault="004A0020" w:rsidP="004100BE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4A0020">
              <w:rPr>
                <w:rFonts w:cs="Simplified Arabic"/>
                <w:color w:val="000000"/>
                <w:sz w:val="20"/>
                <w:szCs w:val="20"/>
                <w:lang w:bidi="ar-MA"/>
              </w:rPr>
              <w:t>Élaboration du dispositif pédagogique à mettre en place dans les centres socioéducatifs et de formation des animateurs</w:t>
            </w:r>
          </w:p>
        </w:tc>
        <w:tc>
          <w:tcPr>
            <w:tcW w:w="5387" w:type="dxa"/>
            <w:vAlign w:val="center"/>
          </w:tcPr>
          <w:p w:rsidR="004A0020" w:rsidRPr="004A0020" w:rsidRDefault="004A0020" w:rsidP="004A0020">
            <w:pPr>
              <w:spacing w:after="0" w:line="240" w:lineRule="auto"/>
              <w:rPr>
                <w:rFonts w:cs="Simplified Arabic"/>
              </w:rPr>
            </w:pPr>
            <w:r w:rsidRPr="004A0020">
              <w:rPr>
                <w:rFonts w:cs="Simplified Arabic"/>
              </w:rPr>
              <w:t xml:space="preserve">Rédaction des TDR </w:t>
            </w:r>
          </w:p>
          <w:p w:rsidR="004A0020" w:rsidRPr="001B34F7" w:rsidRDefault="004A0020" w:rsidP="00371D8D">
            <w:pPr>
              <w:spacing w:after="0" w:line="240" w:lineRule="auto"/>
              <w:rPr>
                <w:rFonts w:cs="Simplified Arabic"/>
              </w:rPr>
            </w:pPr>
            <w:r w:rsidRPr="004A0020">
              <w:rPr>
                <w:rFonts w:cs="Simplified Arabic"/>
              </w:rPr>
              <w:t>Lancement d’une consultation par Benchmark international national pour le développent du projet de centres ENF</w:t>
            </w:r>
          </w:p>
        </w:tc>
        <w:tc>
          <w:tcPr>
            <w:tcW w:w="1559" w:type="dxa"/>
            <w:vAlign w:val="bottom"/>
          </w:tcPr>
          <w:p w:rsidR="004A0020" w:rsidRPr="001B34F7" w:rsidRDefault="004A0020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</w:tcPr>
          <w:p w:rsidR="004A0020" w:rsidRPr="001B34F7" w:rsidRDefault="004A0020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4A0020" w:rsidRPr="001B34F7" w:rsidRDefault="004A0020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  <w:tr w:rsidR="004100BE" w:rsidRPr="001B34F7" w:rsidTr="00D047A6">
        <w:trPr>
          <w:trHeight w:val="618"/>
        </w:trPr>
        <w:tc>
          <w:tcPr>
            <w:tcW w:w="2269" w:type="dxa"/>
            <w:vAlign w:val="center"/>
          </w:tcPr>
          <w:p w:rsidR="004100BE" w:rsidRPr="004A0020" w:rsidRDefault="004100BE" w:rsidP="00D047A6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4100BE" w:rsidRPr="004A0020" w:rsidRDefault="00371D8D" w:rsidP="00371D8D">
            <w:pPr>
              <w:spacing w:after="0" w:line="240" w:lineRule="auto"/>
              <w:rPr>
                <w:rFonts w:cs="Simplified Arabic"/>
              </w:rPr>
            </w:pPr>
            <w:r w:rsidRPr="00371D8D">
              <w:rPr>
                <w:rFonts w:cs="Simplified Arabic"/>
              </w:rPr>
              <w:t>Partage des expériences réussies en matière des écoles de la 2ème chance dans le cadre d’une coopération SUD-SUD</w:t>
            </w:r>
          </w:p>
        </w:tc>
        <w:tc>
          <w:tcPr>
            <w:tcW w:w="1559" w:type="dxa"/>
            <w:vAlign w:val="center"/>
          </w:tcPr>
          <w:p w:rsidR="004100BE" w:rsidRPr="001B34F7" w:rsidRDefault="004100BE" w:rsidP="00D047A6">
            <w:pPr>
              <w:spacing w:after="0" w:line="240" w:lineRule="auto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  <w:vAlign w:val="center"/>
          </w:tcPr>
          <w:p w:rsidR="004100BE" w:rsidRPr="00D047A6" w:rsidRDefault="004100BE" w:rsidP="00D047A6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4100BE" w:rsidRPr="00D047A6" w:rsidRDefault="004100BE" w:rsidP="00D047A6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</w:tr>
      <w:tr w:rsidR="004100BE" w:rsidRPr="001B34F7" w:rsidTr="00D047A6">
        <w:trPr>
          <w:trHeight w:val="618"/>
        </w:trPr>
        <w:tc>
          <w:tcPr>
            <w:tcW w:w="2269" w:type="dxa"/>
            <w:vAlign w:val="center"/>
          </w:tcPr>
          <w:p w:rsidR="004100BE" w:rsidRPr="00D047A6" w:rsidRDefault="004100BE" w:rsidP="004100BE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5387" w:type="dxa"/>
            <w:vAlign w:val="center"/>
          </w:tcPr>
          <w:p w:rsidR="004100BE" w:rsidRPr="00371D8D" w:rsidRDefault="00371D8D" w:rsidP="004A0020">
            <w:pPr>
              <w:spacing w:after="0" w:line="240" w:lineRule="auto"/>
              <w:rPr>
                <w:rFonts w:cs="Simplified Arabic"/>
              </w:rPr>
            </w:pPr>
            <w:r w:rsidRPr="00371D8D">
              <w:rPr>
                <w:rFonts w:cs="Simplified Arabic"/>
              </w:rPr>
              <w:t>Éditer, diffuser et communiquer autour des productions concernant la DENF (rapport étude de cas, bonnes pratiques, projet personnel, référentiel qualité)</w:t>
            </w:r>
          </w:p>
        </w:tc>
        <w:tc>
          <w:tcPr>
            <w:tcW w:w="1559" w:type="dxa"/>
            <w:vAlign w:val="center"/>
          </w:tcPr>
          <w:p w:rsidR="004100BE" w:rsidRPr="00D047A6" w:rsidRDefault="004100BE" w:rsidP="00310880">
            <w:pPr>
              <w:spacing w:after="0" w:line="240" w:lineRule="auto"/>
              <w:ind w:right="176"/>
              <w:jc w:val="right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709" w:type="dxa"/>
            <w:vAlign w:val="center"/>
          </w:tcPr>
          <w:p w:rsidR="004100BE" w:rsidRPr="00D047A6" w:rsidRDefault="004100BE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4100BE" w:rsidRPr="00D047A6" w:rsidRDefault="004100BE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</w:p>
        </w:tc>
      </w:tr>
      <w:tr w:rsidR="00A33E7A" w:rsidRPr="001B34F7" w:rsidTr="004A0020">
        <w:trPr>
          <w:trHeight w:val="160"/>
        </w:trPr>
        <w:tc>
          <w:tcPr>
            <w:tcW w:w="2269" w:type="dxa"/>
            <w:vAlign w:val="center"/>
          </w:tcPr>
          <w:p w:rsidR="00A33E7A" w:rsidRPr="001B34F7" w:rsidRDefault="002C659D" w:rsidP="00310880">
            <w:pPr>
              <w:spacing w:after="0" w:line="240" w:lineRule="auto"/>
              <w:rPr>
                <w:rFonts w:cs="Simplified Arabic"/>
                <w:color w:val="000000"/>
                <w:sz w:val="20"/>
                <w:szCs w:val="20"/>
                <w:lang w:bidi="ar-MA"/>
              </w:rPr>
            </w:pPr>
            <w:r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>T</w:t>
            </w:r>
            <w:r w:rsidR="00752BEA" w:rsidRPr="001B34F7">
              <w:rPr>
                <w:rFonts w:cs="Simplified Arabic"/>
                <w:color w:val="000000"/>
                <w:sz w:val="20"/>
                <w:szCs w:val="20"/>
                <w:lang w:bidi="ar-MA"/>
              </w:rPr>
              <w:t>OTAL</w:t>
            </w:r>
          </w:p>
        </w:tc>
        <w:tc>
          <w:tcPr>
            <w:tcW w:w="5387" w:type="dxa"/>
            <w:vAlign w:val="center"/>
          </w:tcPr>
          <w:p w:rsidR="00A33E7A" w:rsidRPr="001B34F7" w:rsidRDefault="00A33E7A" w:rsidP="00310880">
            <w:pPr>
              <w:spacing w:after="0" w:line="240" w:lineRule="auto"/>
              <w:rPr>
                <w:rFonts w:cs="Simplified Arabic"/>
              </w:rPr>
            </w:pPr>
          </w:p>
        </w:tc>
        <w:tc>
          <w:tcPr>
            <w:tcW w:w="1559" w:type="dxa"/>
            <w:vAlign w:val="bottom"/>
          </w:tcPr>
          <w:p w:rsidR="00A33E7A" w:rsidRPr="001B34F7" w:rsidRDefault="00A33E7A" w:rsidP="00310880">
            <w:pPr>
              <w:spacing w:after="0" w:line="240" w:lineRule="auto"/>
              <w:ind w:right="176"/>
              <w:jc w:val="right"/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33E7A" w:rsidRPr="001B34F7" w:rsidRDefault="00A33E7A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  <w:tc>
          <w:tcPr>
            <w:tcW w:w="850" w:type="dxa"/>
          </w:tcPr>
          <w:p w:rsidR="00A33E7A" w:rsidRPr="001B34F7" w:rsidRDefault="00A33E7A" w:rsidP="00310880">
            <w:pPr>
              <w:spacing w:after="0" w:line="240" w:lineRule="auto"/>
              <w:rPr>
                <w:rFonts w:cs="Simplified Arabic"/>
                <w:color w:val="000000"/>
                <w:sz w:val="10"/>
                <w:szCs w:val="10"/>
                <w:lang w:bidi="ar-MA"/>
              </w:rPr>
            </w:pPr>
          </w:p>
        </w:tc>
      </w:tr>
    </w:tbl>
    <w:p w:rsidR="005B3BC9" w:rsidRDefault="005B3BC9" w:rsidP="003B6602">
      <w:pPr>
        <w:spacing w:after="0" w:line="240" w:lineRule="auto"/>
        <w:rPr>
          <w:color w:val="000000"/>
          <w:sz w:val="14"/>
          <w:szCs w:val="14"/>
          <w:lang w:bidi="ar-MA"/>
        </w:rPr>
      </w:pPr>
    </w:p>
    <w:p w:rsidR="00371D8D" w:rsidRDefault="00371D8D" w:rsidP="003B6602">
      <w:pPr>
        <w:spacing w:after="0" w:line="240" w:lineRule="auto"/>
        <w:rPr>
          <w:color w:val="000000"/>
          <w:sz w:val="14"/>
          <w:szCs w:val="14"/>
          <w:lang w:bidi="ar-MA"/>
        </w:rPr>
      </w:pPr>
    </w:p>
    <w:p w:rsidR="00371D8D" w:rsidRPr="001B2168" w:rsidRDefault="00371D8D" w:rsidP="00371D8D">
      <w:pPr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bidi="ar-MA"/>
        </w:rPr>
      </w:pPr>
    </w:p>
    <w:p w:rsidR="00371D8D" w:rsidRPr="00F3523C" w:rsidRDefault="00371D8D" w:rsidP="003B6602">
      <w:pPr>
        <w:spacing w:after="0" w:line="240" w:lineRule="auto"/>
        <w:rPr>
          <w:color w:val="000000"/>
          <w:sz w:val="14"/>
          <w:szCs w:val="14"/>
          <w:lang w:bidi="ar-MA"/>
        </w:rPr>
      </w:pPr>
    </w:p>
    <w:sectPr w:rsidR="00371D8D" w:rsidRPr="00F3523C" w:rsidSect="002C53F5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FB" w:rsidRDefault="00636EFB" w:rsidP="00C45CE2">
      <w:pPr>
        <w:spacing w:after="0" w:line="240" w:lineRule="auto"/>
      </w:pPr>
      <w:r>
        <w:separator/>
      </w:r>
    </w:p>
  </w:endnote>
  <w:endnote w:type="continuationSeparator" w:id="0">
    <w:p w:rsidR="00636EFB" w:rsidRDefault="00636EFB" w:rsidP="00C4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FB" w:rsidRDefault="00636EFB" w:rsidP="00C45CE2">
      <w:pPr>
        <w:spacing w:after="0" w:line="240" w:lineRule="auto"/>
      </w:pPr>
      <w:r>
        <w:separator/>
      </w:r>
    </w:p>
  </w:footnote>
  <w:footnote w:type="continuationSeparator" w:id="0">
    <w:p w:rsidR="00636EFB" w:rsidRDefault="00636EFB" w:rsidP="00C4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02" w:rsidRDefault="004D7A8B">
    <w:pPr>
      <w:pStyle w:val="En-tte"/>
    </w:pPr>
    <w:r w:rsidRPr="004D7A8B">
      <w:rPr>
        <w:noProof/>
        <w:lang w:eastAsia="fr-FR"/>
      </w:rPr>
      <w:pict>
        <v:oval id="Oval 2" o:spid="_x0000_s2050" style="position:absolute;margin-left:565.7pt;margin-top:11.2pt;width:15.9pt;height:25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woegIAAPgEAAAOAAAAZHJzL2Uyb0RvYy54bWysVG1v2yAQ/j5p/wHxPfVLnTS26lR9WaZJ&#10;3Vqp2w8gGMdoGNhB4nTT/vsOnLTJ9mWa5g+Y447jnnseuLza9YpsBThpdE2zs5QSoblppF7X9Mvn&#10;5WROifNMN0wZLWr6LBy9Wrx9cznYSuSmM6oRQDCJdtVga9p5b6skcbwTPXNnxgqNztZAzzyasE4a&#10;YANm71WSp+ksGQw0FgwXzuHq3eiki5i/bQX3D23rhCeqplibjyPEcRXGZHHJqjUw20m+L4P9QxU9&#10;kxoPfUl1xzwjG5B/pOolB+NM68+46RPTtpKLiAHRZOlvaJ46ZkXEgs1x9qVN7v+l5Z+2j0BkU9Oc&#10;Es16pOhhyxTJQ2cG6yoMeLKPELA5e2/4V0e0ue2YXotrADN0gjVYTxbik5MNwXC4layGj6bBxGzj&#10;TWzSroU+JET4ZBe5eH7hQuw84biI7SjPkTGOrvN8HubhBFYdNltw/r0wPQmTmgqlpHWhW6xi23vn&#10;x+hDVKzfKNkspVLRgPXqVgFBsHjAbLosRwgI8zhM6RCsTdg2ZhxXsEw8I/hCwZHpH2WWF+lNXk6W&#10;s/nFpFgW00l5kc4niOSmnKVFWdwtf4YCs6LqZNMIfS+1OKguK/6O1b3+R71E3ZGhpuU0n0bsJ9W7&#10;Y5Bp/PZdPAkDs9ENomNVYPPdfu6ZVOM8Oa040oCwD//YiMh9oHuUjd+tdpgxaGBlmmdUARhkCQnF&#10;xwInnYHvlAx48Wrqvm0YCErUB41KKrOiCDc1GsX0IkcDjj2rYw/THFPVlHugZDRu/Xi/NxbkusOz&#10;stgYba5Rf62Mwnita69avF4Rzv4pCPf32I5Rrw/W4hcAAAD//wMAUEsDBBQABgAIAAAAIQCs+xOQ&#10;3wAAAAsBAAAPAAAAZHJzL2Rvd25yZXYueG1sTI/LTsMwEEX3SPyDNUjsqBOnpCjEqSrUquu2SGyd&#10;eEgi4nEaOw/4etwVrEZXc3TnTL5dTMcmHFxrSUK8ioAhVVa3VEt4vxyeXoA5r0irzhJK+EYH2+L+&#10;LleZtjOdcDr7moUScpmS0HjfZ5y7qkGj3Mr2SGH3aQejfIhDzfWg5lBuOi6iKOVGtRQuNKrHtwar&#10;r/NoJKS4/ymnod/vjpvr/PxxOF5PYyLl48OyewXmcfF/MNz0gzoUwam0I2nHupDjJF4HVoIQYd6I&#10;OE0EsFLCZi2AFzn//0PxCwAA//8DAFBLAQItABQABgAIAAAAIQC2gziS/gAAAOEBAAATAAAAAAAA&#10;AAAAAAAAAAAAAABbQ29udGVudF9UeXBlc10ueG1sUEsBAi0AFAAGAAgAAAAhADj9If/WAAAAlAEA&#10;AAsAAAAAAAAAAAAAAAAALwEAAF9yZWxzLy5yZWxzUEsBAi0AFAAGAAgAAAAhANKgvCh6AgAA+AQA&#10;AA4AAAAAAAAAAAAAAAAALgIAAGRycy9lMm9Eb2MueG1sUEsBAi0AFAAGAAgAAAAhAKz7E5DfAAAA&#10;CwEAAA8AAAAAAAAAAAAAAAAA1AQAAGRycy9kb3ducmV2LnhtbFBLBQYAAAAABAAEAPMAAADgBQAA&#10;AAA=&#10;" o:allowincell="f" fillcolor="#365f91" stroked="f">
          <v:textbox>
            <w:txbxContent>
              <w:p w:rsidR="00285402" w:rsidRPr="00192F3E" w:rsidRDefault="004D7A8B" w:rsidP="00935E9F">
                <w:pPr>
                  <w:pStyle w:val="Pieddepage"/>
                  <w:rPr>
                    <w:b/>
                    <w:color w:val="FFFFFF"/>
                    <w:sz w:val="16"/>
                    <w:szCs w:val="16"/>
                  </w:rPr>
                </w:pPr>
                <w:r w:rsidRPr="00192F3E">
                  <w:rPr>
                    <w:sz w:val="10"/>
                    <w:szCs w:val="10"/>
                  </w:rPr>
                  <w:fldChar w:fldCharType="begin"/>
                </w:r>
                <w:r w:rsidR="00285402" w:rsidRPr="00192F3E">
                  <w:rPr>
                    <w:sz w:val="10"/>
                    <w:szCs w:val="10"/>
                  </w:rPr>
                  <w:instrText xml:space="preserve"> PAGE    \* MERGEFORMAT </w:instrText>
                </w:r>
                <w:r w:rsidRPr="00192F3E">
                  <w:rPr>
                    <w:sz w:val="10"/>
                    <w:szCs w:val="10"/>
                  </w:rPr>
                  <w:fldChar w:fldCharType="separate"/>
                </w:r>
                <w:r w:rsidR="00C85108" w:rsidRPr="00C85108">
                  <w:rPr>
                    <w:b/>
                    <w:noProof/>
                    <w:color w:val="FFFFFF"/>
                    <w:sz w:val="16"/>
                    <w:szCs w:val="16"/>
                  </w:rPr>
                  <w:t>4</w:t>
                </w:r>
                <w:r w:rsidRPr="00192F3E">
                  <w:rPr>
                    <w:sz w:val="10"/>
                    <w:szCs w:val="1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2" w:rsidRDefault="004D7A8B">
    <w:pPr>
      <w:pStyle w:val="En-tte"/>
    </w:pPr>
    <w:r w:rsidRPr="004D7A8B">
      <w:rPr>
        <w:noProof/>
        <w:lang w:eastAsia="fr-FR"/>
      </w:rPr>
      <w:pict>
        <v:oval id="Oval 1" o:spid="_x0000_s2049" style="position:absolute;margin-left:284.95pt;margin-top:21.3pt;width:25.45pt;height:28.15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jlfwIAAP8EAAAOAAAAZHJzL2Uyb0RvYy54bWysVG1v2yAQ/j5p/wHxPfVL7aS26lRtskyT&#10;urVStx9AAMdoGBiQON20/74DJ22yfZmm5QPhfMfxPPfccX2z7yXaceuEVg3OLlKMuKKaCbVp8JfP&#10;q8kVRs4TxYjUijf4mTt8M3/75nowNc91pyXjFkES5erBNLjz3tRJ4mjHe+IutOEKnK22PfFg2k3C&#10;LBkgey+TPE2nyaAtM1ZT7hx8XY5OPI/525ZT/9C2jnskGwzYfFxtXNdhTebXpN5YYjpBDzDIP6Do&#10;iVBw6UuqJfEEba34I1UvqNVOt/6C6j7RbSsojxyATZb+xuapI4ZHLlAcZ17K5P5fWvpp92iRYKAd&#10;Ror0INHDjkiUhcoMxtUQ8GQebeDmzL2mXx1SetERteG31uqh44QBnhifnB0IhoOjaD181AwSk63X&#10;sUj71vYhIdBH+6jF84sWfO8RhY+X+WWelRhRcF2WszItA6KE1MfDxjr/nusehU2DuZTCuFAtUpPd&#10;vfNj9DEq4tdSsJWQMhp2s15Ii4AsXDAtV9VIAWiehkkVgpUOx8aM4xeACXcEXwAclf5RZXmR3uXV&#10;ZDW9mk2KVVFOqll6NUmz6q6apkVVLFc/A8CsqDvBGFf3QvFj12XF36l66P+xX2LfoaHBVZmXkfsZ&#10;endKMo2/QxXPwqzeKgbsSB3UfHfYeyLkuE/OEUcZgPbxPxYiah/kHtvG79f7Q1tB4tAKa82eoRms&#10;BrFgEuHNgE2n7XeMBpi/BrtvW2I5RvKDgoaqsqIIAxuNopzlYNhTz/rUQxSFVA2m3mI0Ggs/jvnW&#10;WLHp4K4s1kfpW2jDVsT+eMUFXIIBUxZZHV6EMMandox6fbfmvwAAAP//AwBQSwMEFAAGAAgAAAAh&#10;AKn5OCHeAAAACQEAAA8AAABkcnMvZG93bnJldi54bWxMj8tOwzAQRfdI/IM1SOyoQ6CmCXGqCrXq&#10;ugWJrRMPSURsp7bzgK9nWMFyNEf3nltsF9OzCX3onJVwv0qAoa2d7mwj4e31cLcBFqKyWvXOooQv&#10;DLAtr68KlWs32xNO59gwCrEhVxLaGIec81C3aFRYuQEt/T6cNyrS6RuuvZop3PQ8TRLBjeosNbRq&#10;wJcW68/zaCQI3H9Xkx/2u+PTZV6/H46X0/gg5e3NsnsGFnGJfzD86pM6lORUudHqwHoJa5FlhEp4&#10;TAUwAkSa0JZKQrbJgJcF/7+g/AEAAP//AwBQSwECLQAUAAYACAAAACEAtoM4kv4AAADhAQAAEwAA&#10;AAAAAAAAAAAAAAAAAAAAW0NvbnRlbnRfVHlwZXNdLnhtbFBLAQItABQABgAIAAAAIQA4/SH/1gAA&#10;AJQBAAALAAAAAAAAAAAAAAAAAC8BAABfcmVscy8ucmVsc1BLAQItABQABgAIAAAAIQAEhGjlfwIA&#10;AP8EAAAOAAAAAAAAAAAAAAAAAC4CAABkcnMvZTJvRG9jLnhtbFBLAQItABQABgAIAAAAIQCp+Tgh&#10;3gAAAAkBAAAPAAAAAAAAAAAAAAAAANkEAABkcnMvZG93bnJldi54bWxQSwUGAAAAAAQABADzAAAA&#10;5AUAAAAA&#10;" o:allowincell="f" fillcolor="#365f91" stroked="f">
          <v:textbox>
            <w:txbxContent>
              <w:p w:rsidR="00C45CE2" w:rsidRPr="00C45CE2" w:rsidRDefault="004D7A8B">
                <w:pPr>
                  <w:pStyle w:val="Pieddepage"/>
                  <w:jc w:val="center"/>
                  <w:rPr>
                    <w:b/>
                    <w:color w:val="FFFFFF"/>
                    <w:sz w:val="24"/>
                    <w:szCs w:val="24"/>
                  </w:rPr>
                </w:pPr>
                <w:r w:rsidRPr="00C45CE2">
                  <w:rPr>
                    <w:sz w:val="18"/>
                    <w:szCs w:val="18"/>
                  </w:rPr>
                  <w:fldChar w:fldCharType="begin"/>
                </w:r>
                <w:r w:rsidR="00C45CE2" w:rsidRPr="00C45CE2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C45CE2">
                  <w:rPr>
                    <w:sz w:val="18"/>
                    <w:szCs w:val="18"/>
                  </w:rPr>
                  <w:fldChar w:fldCharType="separate"/>
                </w:r>
                <w:r w:rsidR="00C85108" w:rsidRPr="00C85108">
                  <w:rPr>
                    <w:b/>
                    <w:noProof/>
                    <w:color w:val="FFFFFF"/>
                    <w:sz w:val="24"/>
                    <w:szCs w:val="24"/>
                  </w:rPr>
                  <w:t>6</w:t>
                </w:r>
                <w:r w:rsidRPr="00C45CE2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47C2DD5"/>
    <w:multiLevelType w:val="hybridMultilevel"/>
    <w:tmpl w:val="CCF4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2DA9"/>
    <w:multiLevelType w:val="hybridMultilevel"/>
    <w:tmpl w:val="E2A67A34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FC391D"/>
    <w:multiLevelType w:val="hybridMultilevel"/>
    <w:tmpl w:val="AAA64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A84"/>
    <w:multiLevelType w:val="hybridMultilevel"/>
    <w:tmpl w:val="862A8066"/>
    <w:lvl w:ilvl="0" w:tplc="E19EEB06">
      <w:start w:val="1"/>
      <w:numFmt w:val="bullet"/>
      <w:lvlText w:val=""/>
      <w:lvlJc w:val="left"/>
      <w:pPr>
        <w:ind w:left="862" w:hanging="360"/>
      </w:pPr>
      <w:rPr>
        <w:rFonts w:ascii="Wingdings 2" w:hAnsi="Wingdings 2" w:cs="Wingdings 2" w:hint="default"/>
        <w:bCs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CA5AE2"/>
    <w:multiLevelType w:val="hybridMultilevel"/>
    <w:tmpl w:val="9508B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70A24"/>
    <w:multiLevelType w:val="hybridMultilevel"/>
    <w:tmpl w:val="65004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E5DED"/>
    <w:multiLevelType w:val="hybridMultilevel"/>
    <w:tmpl w:val="1F123F78"/>
    <w:lvl w:ilvl="0" w:tplc="7136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E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2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0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2C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1952E6"/>
    <w:multiLevelType w:val="hybridMultilevel"/>
    <w:tmpl w:val="1D5CA5B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35D0B"/>
    <w:multiLevelType w:val="hybridMultilevel"/>
    <w:tmpl w:val="5FC0DBB2"/>
    <w:lvl w:ilvl="0" w:tplc="76C4C540">
      <w:start w:val="1"/>
      <w:numFmt w:val="bullet"/>
      <w:lvlText w:val="-"/>
      <w:lvlJc w:val="left"/>
      <w:pPr>
        <w:ind w:left="677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89548D0"/>
    <w:multiLevelType w:val="hybridMultilevel"/>
    <w:tmpl w:val="36443C9C"/>
    <w:lvl w:ilvl="0" w:tplc="7F707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46897"/>
    <w:multiLevelType w:val="hybridMultilevel"/>
    <w:tmpl w:val="6CDA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3FD9"/>
    <w:multiLevelType w:val="hybridMultilevel"/>
    <w:tmpl w:val="07D008F0"/>
    <w:lvl w:ilvl="0" w:tplc="27683B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CF34A0F"/>
    <w:multiLevelType w:val="hybridMultilevel"/>
    <w:tmpl w:val="D710F7C4"/>
    <w:lvl w:ilvl="0" w:tplc="E39EB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4F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41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0F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08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65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86F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2E7513"/>
    <w:multiLevelType w:val="hybridMultilevel"/>
    <w:tmpl w:val="40BA863E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D0B71"/>
    <w:multiLevelType w:val="hybridMultilevel"/>
    <w:tmpl w:val="385A4EF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2E7D360A"/>
    <w:multiLevelType w:val="hybridMultilevel"/>
    <w:tmpl w:val="9E549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85610"/>
    <w:multiLevelType w:val="hybridMultilevel"/>
    <w:tmpl w:val="D8061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C3715"/>
    <w:multiLevelType w:val="hybridMultilevel"/>
    <w:tmpl w:val="6DFCD886"/>
    <w:lvl w:ilvl="0" w:tplc="0C4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8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46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0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3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83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6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B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6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B7601"/>
    <w:multiLevelType w:val="hybridMultilevel"/>
    <w:tmpl w:val="CC1272EC"/>
    <w:lvl w:ilvl="0" w:tplc="8F2CF6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D38C8"/>
    <w:multiLevelType w:val="hybridMultilevel"/>
    <w:tmpl w:val="C5F00060"/>
    <w:lvl w:ilvl="0" w:tplc="ACC80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6616"/>
    <w:multiLevelType w:val="multilevel"/>
    <w:tmpl w:val="272C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41C194F"/>
    <w:multiLevelType w:val="hybridMultilevel"/>
    <w:tmpl w:val="35100BC4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D25FB"/>
    <w:multiLevelType w:val="hybridMultilevel"/>
    <w:tmpl w:val="F2042486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6317747"/>
    <w:multiLevelType w:val="hybridMultilevel"/>
    <w:tmpl w:val="CA0A8A92"/>
    <w:lvl w:ilvl="0" w:tplc="70CE2B0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6A05"/>
    <w:multiLevelType w:val="hybridMultilevel"/>
    <w:tmpl w:val="45948E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7D126D"/>
    <w:multiLevelType w:val="hybridMultilevel"/>
    <w:tmpl w:val="31EA6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C0A14"/>
    <w:multiLevelType w:val="multilevel"/>
    <w:tmpl w:val="40BA8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47FE3"/>
    <w:multiLevelType w:val="hybridMultilevel"/>
    <w:tmpl w:val="FC420AB8"/>
    <w:lvl w:ilvl="0" w:tplc="A9081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E3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EB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8AE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AC3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0B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A9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0C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2A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337E30"/>
    <w:multiLevelType w:val="hybridMultilevel"/>
    <w:tmpl w:val="CB680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A0769"/>
    <w:multiLevelType w:val="hybridMultilevel"/>
    <w:tmpl w:val="DAE4D7C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56124BB1"/>
    <w:multiLevelType w:val="hybridMultilevel"/>
    <w:tmpl w:val="AAA64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300C2"/>
    <w:multiLevelType w:val="hybridMultilevel"/>
    <w:tmpl w:val="CF06A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D26C0"/>
    <w:multiLevelType w:val="hybridMultilevel"/>
    <w:tmpl w:val="A0CC5188"/>
    <w:lvl w:ilvl="0" w:tplc="31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2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D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0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03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8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4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27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2552FB"/>
    <w:multiLevelType w:val="hybridMultilevel"/>
    <w:tmpl w:val="3B5813BE"/>
    <w:lvl w:ilvl="0" w:tplc="E19EEB06">
      <w:start w:val="1"/>
      <w:numFmt w:val="bullet"/>
      <w:lvlText w:val=""/>
      <w:lvlJc w:val="left"/>
      <w:pPr>
        <w:ind w:left="360" w:hanging="360"/>
      </w:pPr>
      <w:rPr>
        <w:rFonts w:ascii="Wingdings 2" w:hAnsi="Wingdings 2" w:cs="Wingdings 2" w:hint="default"/>
        <w:bCs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108E3"/>
    <w:multiLevelType w:val="hybridMultilevel"/>
    <w:tmpl w:val="2E4C6F6E"/>
    <w:lvl w:ilvl="0" w:tplc="9A5AF770">
      <w:start w:val="1"/>
      <w:numFmt w:val="bullet"/>
      <w:lvlText w:val="-"/>
      <w:lvlJc w:val="left"/>
      <w:pPr>
        <w:ind w:left="107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37657"/>
    <w:multiLevelType w:val="multilevel"/>
    <w:tmpl w:val="10AE5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9D3985"/>
    <w:multiLevelType w:val="hybridMultilevel"/>
    <w:tmpl w:val="AC46A974"/>
    <w:lvl w:ilvl="0" w:tplc="040C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>
    <w:nsid w:val="75742EA7"/>
    <w:multiLevelType w:val="hybridMultilevel"/>
    <w:tmpl w:val="010445E0"/>
    <w:lvl w:ilvl="0" w:tplc="4D007B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00F"/>
    <w:multiLevelType w:val="hybridMultilevel"/>
    <w:tmpl w:val="177EAE66"/>
    <w:lvl w:ilvl="0" w:tplc="4C8C08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86E6628"/>
    <w:multiLevelType w:val="hybridMultilevel"/>
    <w:tmpl w:val="385819E4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2"/>
  </w:num>
  <w:num w:numId="4">
    <w:abstractNumId w:val="6"/>
  </w:num>
  <w:num w:numId="5">
    <w:abstractNumId w:val="27"/>
  </w:num>
  <w:num w:numId="6">
    <w:abstractNumId w:val="12"/>
  </w:num>
  <w:num w:numId="7">
    <w:abstractNumId w:val="19"/>
  </w:num>
  <w:num w:numId="8">
    <w:abstractNumId w:val="34"/>
  </w:num>
  <w:num w:numId="9">
    <w:abstractNumId w:val="33"/>
  </w:num>
  <w:num w:numId="10">
    <w:abstractNumId w:val="20"/>
  </w:num>
  <w:num w:numId="11">
    <w:abstractNumId w:val="16"/>
  </w:num>
  <w:num w:numId="12">
    <w:abstractNumId w:val="11"/>
  </w:num>
  <w:num w:numId="13">
    <w:abstractNumId w:val="3"/>
  </w:num>
  <w:num w:numId="14">
    <w:abstractNumId w:val="36"/>
  </w:num>
  <w:num w:numId="15">
    <w:abstractNumId w:val="21"/>
  </w:num>
  <w:num w:numId="16">
    <w:abstractNumId w:val="23"/>
  </w:num>
  <w:num w:numId="17">
    <w:abstractNumId w:val="4"/>
  </w:num>
  <w:num w:numId="18">
    <w:abstractNumId w:val="5"/>
  </w:num>
  <w:num w:numId="19">
    <w:abstractNumId w:val="38"/>
  </w:num>
  <w:num w:numId="20">
    <w:abstractNumId w:val="0"/>
  </w:num>
  <w:num w:numId="21">
    <w:abstractNumId w:val="9"/>
  </w:num>
  <w:num w:numId="22">
    <w:abstractNumId w:val="31"/>
  </w:num>
  <w:num w:numId="23">
    <w:abstractNumId w:val="25"/>
  </w:num>
  <w:num w:numId="24">
    <w:abstractNumId w:val="24"/>
  </w:num>
  <w:num w:numId="25">
    <w:abstractNumId w:val="30"/>
  </w:num>
  <w:num w:numId="26">
    <w:abstractNumId w:val="28"/>
  </w:num>
  <w:num w:numId="27">
    <w:abstractNumId w:val="18"/>
  </w:num>
  <w:num w:numId="28">
    <w:abstractNumId w:val="37"/>
  </w:num>
  <w:num w:numId="29">
    <w:abstractNumId w:val="39"/>
  </w:num>
  <w:num w:numId="30">
    <w:abstractNumId w:val="13"/>
  </w:num>
  <w:num w:numId="31">
    <w:abstractNumId w:val="22"/>
  </w:num>
  <w:num w:numId="32">
    <w:abstractNumId w:val="7"/>
  </w:num>
  <w:num w:numId="33">
    <w:abstractNumId w:val="26"/>
  </w:num>
  <w:num w:numId="34">
    <w:abstractNumId w:val="29"/>
  </w:num>
  <w:num w:numId="35">
    <w:abstractNumId w:val="14"/>
  </w:num>
  <w:num w:numId="36">
    <w:abstractNumId w:val="35"/>
  </w:num>
  <w:num w:numId="37">
    <w:abstractNumId w:val="8"/>
  </w:num>
  <w:num w:numId="38">
    <w:abstractNumId w:val="10"/>
  </w:num>
  <w:num w:numId="39">
    <w:abstractNumId w:val="1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638"/>
    <w:rsid w:val="000118E5"/>
    <w:rsid w:val="00027BC7"/>
    <w:rsid w:val="00041693"/>
    <w:rsid w:val="00052C0A"/>
    <w:rsid w:val="00053362"/>
    <w:rsid w:val="00073B8F"/>
    <w:rsid w:val="00075270"/>
    <w:rsid w:val="00096CE4"/>
    <w:rsid w:val="000B3735"/>
    <w:rsid w:val="000C1074"/>
    <w:rsid w:val="000C1CB8"/>
    <w:rsid w:val="000D0D80"/>
    <w:rsid w:val="000D2A29"/>
    <w:rsid w:val="000F0974"/>
    <w:rsid w:val="00102539"/>
    <w:rsid w:val="00102CC4"/>
    <w:rsid w:val="00117790"/>
    <w:rsid w:val="001736C6"/>
    <w:rsid w:val="00175145"/>
    <w:rsid w:val="00175A6D"/>
    <w:rsid w:val="00175C14"/>
    <w:rsid w:val="00194CB7"/>
    <w:rsid w:val="00195B7F"/>
    <w:rsid w:val="001B2168"/>
    <w:rsid w:val="001B34F7"/>
    <w:rsid w:val="001B7203"/>
    <w:rsid w:val="001C018D"/>
    <w:rsid w:val="001D3DBF"/>
    <w:rsid w:val="001D423D"/>
    <w:rsid w:val="001D6D2F"/>
    <w:rsid w:val="001D76C0"/>
    <w:rsid w:val="001E0257"/>
    <w:rsid w:val="001E3582"/>
    <w:rsid w:val="001F09C0"/>
    <w:rsid w:val="001F431D"/>
    <w:rsid w:val="001F5D78"/>
    <w:rsid w:val="00204817"/>
    <w:rsid w:val="00215D40"/>
    <w:rsid w:val="0022537A"/>
    <w:rsid w:val="0022728A"/>
    <w:rsid w:val="00264FE0"/>
    <w:rsid w:val="00266956"/>
    <w:rsid w:val="00271F5B"/>
    <w:rsid w:val="00280F0B"/>
    <w:rsid w:val="00285402"/>
    <w:rsid w:val="00291171"/>
    <w:rsid w:val="002A78EF"/>
    <w:rsid w:val="002A7F59"/>
    <w:rsid w:val="002B3640"/>
    <w:rsid w:val="002C190A"/>
    <w:rsid w:val="002C2348"/>
    <w:rsid w:val="002C2537"/>
    <w:rsid w:val="002C53F5"/>
    <w:rsid w:val="002C659D"/>
    <w:rsid w:val="002D7713"/>
    <w:rsid w:val="002E28E7"/>
    <w:rsid w:val="002F0DBB"/>
    <w:rsid w:val="00303693"/>
    <w:rsid w:val="00310880"/>
    <w:rsid w:val="003126AA"/>
    <w:rsid w:val="00347A29"/>
    <w:rsid w:val="00352A0D"/>
    <w:rsid w:val="00361857"/>
    <w:rsid w:val="003650E0"/>
    <w:rsid w:val="00371D8D"/>
    <w:rsid w:val="00375D3B"/>
    <w:rsid w:val="00380272"/>
    <w:rsid w:val="0038290D"/>
    <w:rsid w:val="00394CE0"/>
    <w:rsid w:val="003A69B7"/>
    <w:rsid w:val="003B12CC"/>
    <w:rsid w:val="003B6602"/>
    <w:rsid w:val="003C0195"/>
    <w:rsid w:val="003C7164"/>
    <w:rsid w:val="003C79AE"/>
    <w:rsid w:val="003E1756"/>
    <w:rsid w:val="003E5B68"/>
    <w:rsid w:val="003F601B"/>
    <w:rsid w:val="003F6795"/>
    <w:rsid w:val="00400BC0"/>
    <w:rsid w:val="00401A64"/>
    <w:rsid w:val="004079A2"/>
    <w:rsid w:val="00410092"/>
    <w:rsid w:val="004100BE"/>
    <w:rsid w:val="0041463F"/>
    <w:rsid w:val="0042620B"/>
    <w:rsid w:val="00433FDD"/>
    <w:rsid w:val="00441E75"/>
    <w:rsid w:val="0045108D"/>
    <w:rsid w:val="00451B3E"/>
    <w:rsid w:val="00461995"/>
    <w:rsid w:val="004621C3"/>
    <w:rsid w:val="004745CA"/>
    <w:rsid w:val="004A0020"/>
    <w:rsid w:val="004A62C0"/>
    <w:rsid w:val="004B5E69"/>
    <w:rsid w:val="004C085A"/>
    <w:rsid w:val="004D2F2A"/>
    <w:rsid w:val="004D7A8B"/>
    <w:rsid w:val="004E441B"/>
    <w:rsid w:val="004E4C16"/>
    <w:rsid w:val="004F22E1"/>
    <w:rsid w:val="004F2884"/>
    <w:rsid w:val="005004F5"/>
    <w:rsid w:val="00530337"/>
    <w:rsid w:val="00541276"/>
    <w:rsid w:val="005431A6"/>
    <w:rsid w:val="0054333E"/>
    <w:rsid w:val="00551E8D"/>
    <w:rsid w:val="005572E5"/>
    <w:rsid w:val="0057341C"/>
    <w:rsid w:val="00587BA7"/>
    <w:rsid w:val="005A2A4B"/>
    <w:rsid w:val="005A6521"/>
    <w:rsid w:val="005B3A79"/>
    <w:rsid w:val="005B3BC9"/>
    <w:rsid w:val="005C7903"/>
    <w:rsid w:val="005D2D47"/>
    <w:rsid w:val="005D33F9"/>
    <w:rsid w:val="005E1EFD"/>
    <w:rsid w:val="005F2E1D"/>
    <w:rsid w:val="00636EFB"/>
    <w:rsid w:val="0064755F"/>
    <w:rsid w:val="0068107C"/>
    <w:rsid w:val="0068671B"/>
    <w:rsid w:val="0069149F"/>
    <w:rsid w:val="006C16BC"/>
    <w:rsid w:val="006C2DE4"/>
    <w:rsid w:val="006C42B7"/>
    <w:rsid w:val="006D57F5"/>
    <w:rsid w:val="006E3A1D"/>
    <w:rsid w:val="006E6F55"/>
    <w:rsid w:val="006F009D"/>
    <w:rsid w:val="006F78F3"/>
    <w:rsid w:val="00703DB2"/>
    <w:rsid w:val="00730028"/>
    <w:rsid w:val="00732E34"/>
    <w:rsid w:val="007426FE"/>
    <w:rsid w:val="00752BEA"/>
    <w:rsid w:val="00762D34"/>
    <w:rsid w:val="00776D2A"/>
    <w:rsid w:val="0078516E"/>
    <w:rsid w:val="0078795C"/>
    <w:rsid w:val="007A0159"/>
    <w:rsid w:val="007A039C"/>
    <w:rsid w:val="007A19C5"/>
    <w:rsid w:val="007C0016"/>
    <w:rsid w:val="007D01D0"/>
    <w:rsid w:val="007D411B"/>
    <w:rsid w:val="007E52DB"/>
    <w:rsid w:val="007E551E"/>
    <w:rsid w:val="007E6A8F"/>
    <w:rsid w:val="00803AD4"/>
    <w:rsid w:val="00825F61"/>
    <w:rsid w:val="008542C1"/>
    <w:rsid w:val="008702E5"/>
    <w:rsid w:val="008B5241"/>
    <w:rsid w:val="008C44CE"/>
    <w:rsid w:val="008D7CD6"/>
    <w:rsid w:val="008E41F0"/>
    <w:rsid w:val="008E7E74"/>
    <w:rsid w:val="0090620D"/>
    <w:rsid w:val="0091341C"/>
    <w:rsid w:val="00926B79"/>
    <w:rsid w:val="00935E9F"/>
    <w:rsid w:val="009412CA"/>
    <w:rsid w:val="00954E39"/>
    <w:rsid w:val="00956964"/>
    <w:rsid w:val="00961E10"/>
    <w:rsid w:val="00971CEB"/>
    <w:rsid w:val="009727A7"/>
    <w:rsid w:val="0097304B"/>
    <w:rsid w:val="00976356"/>
    <w:rsid w:val="009A041D"/>
    <w:rsid w:val="009A3350"/>
    <w:rsid w:val="009A4AFE"/>
    <w:rsid w:val="009B5F65"/>
    <w:rsid w:val="009D473B"/>
    <w:rsid w:val="009E3998"/>
    <w:rsid w:val="009E5D41"/>
    <w:rsid w:val="009F264A"/>
    <w:rsid w:val="009F3B0A"/>
    <w:rsid w:val="00A33E7A"/>
    <w:rsid w:val="00A44D4E"/>
    <w:rsid w:val="00A47FEF"/>
    <w:rsid w:val="00A61B69"/>
    <w:rsid w:val="00A80F36"/>
    <w:rsid w:val="00AB3C87"/>
    <w:rsid w:val="00AB4B28"/>
    <w:rsid w:val="00AD04AD"/>
    <w:rsid w:val="00AD1DD9"/>
    <w:rsid w:val="00AE552B"/>
    <w:rsid w:val="00AE7B76"/>
    <w:rsid w:val="00AF0DD2"/>
    <w:rsid w:val="00B020CE"/>
    <w:rsid w:val="00B409BA"/>
    <w:rsid w:val="00B5250F"/>
    <w:rsid w:val="00B70C59"/>
    <w:rsid w:val="00B84867"/>
    <w:rsid w:val="00B86219"/>
    <w:rsid w:val="00BB25D9"/>
    <w:rsid w:val="00BB530D"/>
    <w:rsid w:val="00BB55ED"/>
    <w:rsid w:val="00BD035E"/>
    <w:rsid w:val="00BD0667"/>
    <w:rsid w:val="00BD7575"/>
    <w:rsid w:val="00BF3CF7"/>
    <w:rsid w:val="00C05638"/>
    <w:rsid w:val="00C061CD"/>
    <w:rsid w:val="00C1404F"/>
    <w:rsid w:val="00C26FD8"/>
    <w:rsid w:val="00C32DC9"/>
    <w:rsid w:val="00C45CE2"/>
    <w:rsid w:val="00C51D17"/>
    <w:rsid w:val="00C57399"/>
    <w:rsid w:val="00C85108"/>
    <w:rsid w:val="00C85E62"/>
    <w:rsid w:val="00C91598"/>
    <w:rsid w:val="00C95908"/>
    <w:rsid w:val="00CA360B"/>
    <w:rsid w:val="00CB3150"/>
    <w:rsid w:val="00CB477C"/>
    <w:rsid w:val="00CC5FDA"/>
    <w:rsid w:val="00CD398B"/>
    <w:rsid w:val="00CF2F89"/>
    <w:rsid w:val="00CF597F"/>
    <w:rsid w:val="00D047A6"/>
    <w:rsid w:val="00D05ABF"/>
    <w:rsid w:val="00D06576"/>
    <w:rsid w:val="00D26E6E"/>
    <w:rsid w:val="00D4097C"/>
    <w:rsid w:val="00D540DF"/>
    <w:rsid w:val="00D62B2A"/>
    <w:rsid w:val="00D74161"/>
    <w:rsid w:val="00D954EE"/>
    <w:rsid w:val="00DB56E5"/>
    <w:rsid w:val="00DC09C9"/>
    <w:rsid w:val="00DC2D21"/>
    <w:rsid w:val="00E010E4"/>
    <w:rsid w:val="00E254AA"/>
    <w:rsid w:val="00E3244E"/>
    <w:rsid w:val="00E3616A"/>
    <w:rsid w:val="00E703C9"/>
    <w:rsid w:val="00E70D8A"/>
    <w:rsid w:val="00E737E1"/>
    <w:rsid w:val="00E8593A"/>
    <w:rsid w:val="00E91582"/>
    <w:rsid w:val="00E961FE"/>
    <w:rsid w:val="00EA48A5"/>
    <w:rsid w:val="00EA526E"/>
    <w:rsid w:val="00EC010F"/>
    <w:rsid w:val="00EF0BB1"/>
    <w:rsid w:val="00EF1071"/>
    <w:rsid w:val="00EF572C"/>
    <w:rsid w:val="00F111AB"/>
    <w:rsid w:val="00F3523C"/>
    <w:rsid w:val="00F366F6"/>
    <w:rsid w:val="00F37600"/>
    <w:rsid w:val="00F42233"/>
    <w:rsid w:val="00F45646"/>
    <w:rsid w:val="00F50573"/>
    <w:rsid w:val="00F63DDB"/>
    <w:rsid w:val="00F65D81"/>
    <w:rsid w:val="00F679F9"/>
    <w:rsid w:val="00F844CE"/>
    <w:rsid w:val="00FB0486"/>
    <w:rsid w:val="00FC7F7B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B76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C45C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45C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5CE2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C4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8C44CE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72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B7203"/>
    <w:rPr>
      <w:lang w:val="fr-FR"/>
    </w:rPr>
  </w:style>
  <w:style w:type="character" w:styleId="Appelnotedebasdep">
    <w:name w:val="footnote reference"/>
    <w:uiPriority w:val="99"/>
    <w:semiHidden/>
    <w:unhideWhenUsed/>
    <w:rsid w:val="001B7203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C10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C1074"/>
    <w:rPr>
      <w:rFonts w:ascii="Consolas" w:hAnsi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19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9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3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7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EC6A-301A-4F8A-8D40-B77E67C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d’action de coopération DENF /UNCEF</vt:lpstr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 de coopération DENF /UNCEF</dc:title>
  <dc:creator>abdallah</dc:creator>
  <cp:lastModifiedBy>aghzere</cp:lastModifiedBy>
  <cp:revision>2</cp:revision>
  <cp:lastPrinted>2014-03-10T14:52:00Z</cp:lastPrinted>
  <dcterms:created xsi:type="dcterms:W3CDTF">2014-06-17T09:20:00Z</dcterms:created>
  <dcterms:modified xsi:type="dcterms:W3CDTF">2014-06-17T09:20:00Z</dcterms:modified>
</cp:coreProperties>
</file>